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Default="000612DA">
      <w:pPr>
        <w:autoSpaceDE w:val="0"/>
        <w:autoSpaceDN w:val="0"/>
        <w:adjustRightInd w:val="0"/>
        <w:jc w:val="center"/>
        <w:rPr>
          <w:rFonts w:ascii="方正仿宋简体" w:eastAsia="方正仿宋简体" w:hAnsiTheme="minorEastAsia" w:cs="仿宋_GB2312"/>
          <w:kern w:val="0"/>
          <w:sz w:val="36"/>
          <w:szCs w:val="36"/>
        </w:rPr>
      </w:pPr>
    </w:p>
    <w:p w:rsidR="000612DA" w:rsidRDefault="00EE0C11" gbicc:emptyAbove="1">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易方达中证500指数量化增强型证券投资基金（易方达中证500量化增强A）基金产品资料概要</w:t>
      </w:r>
    </w:p>
    <w:p w:rsidR="000612DA" w:rsidRDefault="00EE0C11" w:rsidP="00F156A4">
      <w:pPr>
        <w:autoSpaceDE w:val="0"/>
        <w:autoSpaceDN w:val="0"/>
        <w:adjustRightInd w:val="0"/>
        <w:jc w:val="center"/>
        <w:rPr>
          <w:rFonts w:ascii="方正仿宋简体" w:eastAsia="方正仿宋简体" w:hAnsi="方正仿宋简体" w:cs="方正仿宋简体"/>
          <w:iCs/>
          <w:sz w:val="24"/>
          <w:szCs w:val="24"/>
        </w:rPr>
      </w:pPr>
      <w:bookmarkStart w:id="0" w:name="_GoBack"/>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2021年4月26日</w:t>
      </w:r>
    </w:p>
    <w:bookmarkEnd w:id="0"/>
    <w:p w:rsidR="000612DA" w:rsidRDefault="00EE0C11">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2021年4月27日</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0612DA" w:rsidRDefault="00EE0C11">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0612DA" w:rsidRDefault="00EE0C11">
      <w:pPr gbicc:listString="一、" gbicc:numText="%1、" gbicc:numFmt="C" gbicc:numVal="1"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0612DA" w:rsidTr="00584DC5">
        <w:trPr>
          <w:trHeight w:val="454"/>
        </w:trPr>
        <w:tc>
          <w:tcPr>
            <w:tcW w:w="1145" w:type="pct"/>
            <w:vMerge w:val="restart"/>
            <w:vAlign w:val="center"/>
          </w:tcPr>
          <w:p w:rsidR="000612DA" w:rsidRDefault="00EE0C11" w:rsidP="00584DC5">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rsidR="000612DA" w:rsidRDefault="00EE0C11" w:rsidP="00584DC5">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易方达中证500量化增强</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0612DA" w:rsidRDefault="00F156A4">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012080</w:t>
            </w:r>
          </w:p>
        </w:tc>
      </w:tr>
      <w:tr w:rsidR="000612DA" w:rsidTr="00584DC5">
        <w:trPr>
          <w:trHeight w:val="150"/>
        </w:trPr>
        <w:tc>
          <w:tcPr>
            <w:tcW w:w="1145" w:type="pct"/>
            <w:vMerge w:val="restart"/>
            <w:vAlign w:val="center"/>
          </w:tcPr>
          <w:p w:rsidR="000612DA" w:rsidRDefault="00EE0C11" w:rsidP="00584DC5">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Default="00EE0C11" w:rsidP="00C97AC3">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易方达中证500量化增强A</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Default="00F156A4">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012080</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0612DA" w:rsidRDefault="00F156A4">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中国工商银行股份有限公司</w:t>
            </w:r>
            <w:r w:rsidR="00EE0C11">
              <w:rPr>
                <w:rFonts w:ascii="方正仿宋简体" w:eastAsia="方正仿宋简体" w:hAnsiTheme="minorEastAsia" w:cs="方正仿宋简体" w:hint="eastAsia"/>
                <w:iCs/>
              </w:rPr>
              <w:t xml:space="preserve"> </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rsidR="000612DA" w:rsidRDefault="00F156A4">
            <w:pPr>
              <w:spacing w:line="280" w:lineRule="exact"/>
              <w:rPr>
                <w:rFonts w:ascii="方正仿宋简体" w:eastAsia="方正仿宋简体" w:hAnsiTheme="minorEastAsia" w:cs="方正仿宋简体"/>
                <w:iCs/>
              </w:rPr>
            </w:pPr>
            <w:r w:rsidR="00EE0C11">
              <w:rPr>
                <w:rFonts w:hint="eastAsia"/>
                <w:color w:val="333399"/>
              </w:rPr>
              <w:t/>
            </w:r>
            <w:r w:rsidR="00EE0C11">
              <w:rPr>
                <w:rFonts w:ascii="方正仿宋简体" w:eastAsia="方正仿宋简体" w:hAnsiTheme="minorEastAsia" w:cs="方正仿宋简体" w:hint="eastAsia"/>
                <w:iCs/>
              </w:rPr>
              <w:t xml:space="preserve"> </w:t>
            </w:r>
            <w:r w:rsidR="00EE0C11">
              <w:rPr>
                <w:rFonts w:hint="eastAsia"/>
                <w:color w:val="333399"/>
              </w:rPr>
              <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0612DA" w:rsidRDefault="00F156A4">
            <w:pPr>
              <w:spacing w:line="280" w:lineRule="exact"/>
              <w:rPr>
                <w:rFonts w:ascii="方正仿宋简体" w:eastAsia="方正仿宋简体" w:hAnsiTheme="minorEastAsia" w:cs="方正仿宋简体"/>
                <w:iCs/>
              </w:rPr>
            </w:pPr>
            <w:r w:rsidR="00EE0C11">
              <w:rPr>
                <w:rFonts w:ascii="方正仿宋简体" w:eastAsia="方正仿宋简体" w:hAnsiTheme="minorEastAsia" w:cs="方正仿宋简体" w:hint="eastAsia"/>
                <w:iCs/>
              </w:rPr>
              <w:t>人民币</w:t>
            </w:r>
            <w:r w:rsidR="00EE0C11">
              <w:rPr>
                <w:rFonts w:hint="eastAsia"/>
                <w:color w:val="333399"/>
              </w:rPr>
              <w:t/>
            </w:r>
            <w:r w:rsidR="00EE0C11">
              <w:rPr>
                <w:rFonts w:hint="eastAsia"/>
                <w:color w:val="333399"/>
              </w:rPr>
              <w:t/>
            </w:r>
            <w:r w:rsidR="00EE0C11">
              <w:rPr>
                <w:rFonts w:hint="eastAsia"/>
                <w:color w:val="333399"/>
              </w:rPr>
              <w:t/>
            </w:r>
            <w:r w:rsidR="00EE0C11">
              <w:rPr>
                <w:rFonts w:hint="eastAsia"/>
                <w:color w:val="333399"/>
              </w:rPr>
              <w:t/>
            </w:r>
          </w:p>
        </w:tc>
      </w:tr>
      <w:tr w:rsidR="000612DA" w:rsidTr="005F360D">
        <w:trPr>
          <w:trHeight w:val="454"/>
        </w:trPr>
        <w:tc>
          <w:tcPr>
            <w:tcW w:w="1145"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R="000612DA" w:rsidTr="005F360D">
        <w:trPr>
          <w:trHeight w:val="454"/>
        </w:trPr>
        <w:tc>
          <w:tcPr>
            <w:tcW w:w="1145" w:type="pct"/>
            <w:vMerge w:val="restar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官泽帆</w:t>
            </w: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R="000612DA" w:rsidTr="005F360D">
        <w:trPr>
          <w:trHeight w:val="454"/>
        </w:trPr>
        <w:tc>
          <w:tcPr>
            <w:tcW w:w="1145" w:type="pct"/>
            <w:vMerge/>
            <w:vAlign w:val="center"/>
          </w:tcPr>
          <w:p w:rsidR="000612DA" w:rsidRDefault="000612DA">
            <w:pPr>
              <w:spacing w:line="280" w:lineRule="exact"/>
              <w:rPr>
                <w:rFonts w:ascii="方正仿宋简体" w:eastAsia="方正仿宋简体" w:hAnsiTheme="minorEastAsia" w:cs="方正仿宋简体"/>
                <w:b/>
                <w:iCs/>
              </w:rPr>
            </w:pPr>
          </w:p>
        </w:tc>
        <w:tc>
          <w:tcPr>
            <w:tcW w:w="1413" w:type="pct"/>
            <w:vMerge/>
            <w:vAlign w:val="center"/>
          </w:tcPr>
          <w:p w:rsidR="000612DA" w:rsidRDefault="000612DA">
            <w:pPr>
              <w:spacing w:line="280" w:lineRule="exact"/>
              <w:rPr>
                <w:rFonts w:ascii="方正仿宋简体" w:eastAsia="方正仿宋简体" w:hAnsiTheme="minorEastAsia" w:cs="方正仿宋简体"/>
                <w:b/>
                <w:iCs/>
              </w:rPr>
            </w:pPr>
          </w:p>
        </w:tc>
        <w:tc>
          <w:tcPr>
            <w:tcW w:w="999" w:type="pct"/>
            <w:vAlign w:val="center"/>
          </w:tcPr>
          <w:p w:rsidR="000612DA" w:rsidRDefault="00EE0C11">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0612DA" w:rsidRDefault="00EE0C11">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2010-09-01</w:t>
            </w:r>
          </w:p>
        </w:tc>
      </w:tr>
    </w:tbl>
    <w:p w:rsidR="000612DA" w:rsidRDefault="00EE0C11">
      <w:pPr gbicc:listString="二、" gbicc:numText="%1、" gbicc:numFmt="C" gbicc:numVal="2"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0612DA" w:rsidRDefault="00EE0C11">
      <w:pPr gbicc:listString="(一)" gbicc:numText="(%1)" gbicc:numFmt="C" gbicc:numVal="1" gbicc:numId="15">
        <w:pStyle w:val="a8"/>
        <w:numPr>
          <w:ilvl w:val="0"/>
          <w:numId w:val="15"/>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93"/>
        <w:gridCol w:w="6429"/>
      </w:tblGrid>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基金为指数增强型股票基金，在控制基金净值增长率与业绩比较基准之间的日均跟踪偏离度及年化跟踪误差的基础上，追求超越业绩比较基准的投资回报，力争实现基金资产的长期稳健增值。</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上市的股票（含中小板、创业板及其他依法发行、上市的股票、存托凭证）、内地与香港股票市场交易互联互通机制允许买卖的香港证券市场股票（以下简称“港股通股票”）、债券、债券回购、资产支持证券、银行存款、同业存单、货币市场工具、股指期货、股票期权以及法律法规或中国证监会允许基金投资的其他金融工具。</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如法律法规或监管机构以后允许基金投资其他品种，本基金可以将其纳入投资范围。</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本基金股票资产占基金资产的比例为80%-95%；投资于标的指数成份股及备选成份股的资产不低于非现金基金资产的80%；每个交易日日终，扣除股指期货、股票期权合约需缴纳的交易保证金后，保持不低于基金资产净值5％的现金或者到期日在一年以内的政府债券，其中现金不包括结算备付金、存出保证金和应收申购款等。</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属于指数增强型股票基金，力求控制本基金净值增长率与业绩比较基准之间的日均跟踪偏离度的绝对值不超过0.5%，年化跟踪误差不超过7%；同时通过量化策略进行投资组合管理，力争实现超越业绩比较基准的投资回报，谋求基金资产的长期增值。股票投资方面，本基金指数化投资以标的指数的构成为基础，通过对各成份股权重偏离的控制，实现对标的指数的跟踪。本基金利用基金管理人自主研发的定量投资模型预测股票超额回报，在力争有效控制风险及交易成本的基础上构建和优化投资组合，其中股票选择以指数成份股及备选成份股为主，同时适当投资于非成份股，并根据定量投资模型在全市场优先选择综合评估较高的股票，对投资组合构成及权重进行优化调整。债券投资方面，本基金将密切跟踪市场动态变化，选择合适的介入机会，并通过久期配置、类属配置、期限结构配置和个券选择等方面进行积极主动的债券投资管理。</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中证500指数收益率×95%+活期存款利率（税后）×5%</w:t>
            </w:r>
          </w:p>
        </w:tc>
      </w:tr>
      <w:tr w:rsidR="000612DA" w:rsidTr="0074096A">
        <w:trPr>
          <w:trHeight w:val="454"/>
        </w:trPr>
        <w:tc>
          <w:tcPr>
            <w:tcW w:w="1228"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为股票基金，理论上其预期风险与预期收益高于混合基金、债券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0612DA" w:rsidRDefault="00EE0C11">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风险揭示”部分。</w:t>
            </w:r>
          </w:p>
        </w:tc>
      </w:tr>
    </w:tbl>
    <w:p w:rsidR="000612DA" w:rsidRPr="00C17415" w:rsidRDefault="00EE0C11">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w:t>
      </w:r>
      <w:r>
        <w:rPr>
          <w:rFonts w:ascii="方正仿宋简体" w:eastAsia="方正仿宋简体" w:hAnsiTheme="minorEastAsia" w:cs="方正仿宋简体" w:hint="eastAsia"/>
          <w:iCs/>
          <w:szCs w:val="24"/>
        </w:rPr>
        <w:t>投资者可阅读《招募说明书》基金的投资章节了解详细情况。</w:t>
      </w:r>
    </w:p>
    <w:p w:rsidR="000612DA" w:rsidRDefault="00EE0C11">
      <w:pPr gbicc:listString="(二)" gbicc:numText="(%1)" gbicc:numFmt="C" gbicc:numVal="2" gbicc:numId="15">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0612DA" w:rsidRDefault="00EE0C11">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0612DA" w:rsidRDefault="00F156A4" w:rsidP="00265B51" gbicc:emptyAbove="1">
      <w:pPr>
        <w:jc w:val="left"/>
        <w:rPr>
          <w:rFonts w:ascii="方正仿宋简体" w:eastAsia="方正仿宋简体" w:hAnsi="方正仿宋简体" w:cs="方正仿宋简体"/>
          <w:b/>
          <w:iCs/>
          <w:sz w:val="24"/>
          <w:szCs w:val="24"/>
        </w:rPr>
      </w:pPr>
      <w:r w:rsidR="00EE0C11" w:rsidRPr="00320127">
        <w:rPr>
          <w:rFonts w:ascii="方正仿宋简体" w:eastAsia="方正仿宋简体"/>
          <w:color w:val="000000" w:themeColor="text1"/>
        </w:rPr>
        <w:t>无</w:t>
      </w:r>
    </w:p>
    <w:p w:rsidR="000612DA" w:rsidRDefault="00EE0C11">
      <w:pPr gbicc:listString="(三)" gbicc:numText="(%1)" gbicc:numFmt="C" gbicc:numVal="3" gbicc:numId="15">
        <w:pStyle w:val="a8"/>
        <w:numPr>
          <w:ilvl w:val="0"/>
          <w:numId w:val="15"/>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0612DA" w:rsidRDefault="00F156A4" gbicc:emptyAbove="2">
      <w:pPr>
        <w:autoSpaceDE w:val="0"/>
        <w:autoSpaceDN w:val="0"/>
        <w:adjustRightInd w:val="0"/>
        <w:spacing w:line="280" w:lineRule="exact"/>
        <w:jc w:val="left"/>
        <w:rPr>
          <w:rFonts w:ascii="方正仿宋简体" w:eastAsia="方正仿宋简体" w:hAnsiTheme="minorEastAsia"/>
          <w:color w:val="000000" w:themeColor="text1"/>
        </w:rPr>
      </w:pPr>
      <w:r w:rsidR="00EE0C11">
        <w:rPr>
          <w:rFonts w:ascii="方正仿宋简体" w:eastAsia="方正仿宋简体" w:hAnsiTheme="minorEastAsia" w:hint="eastAsia"/>
          <w:color w:val="000000" w:themeColor="text1"/>
        </w:rPr>
        <w:t>无</w:t>
      </w:r>
    </w:p>
    <w:p w:rsidR="000612DA" w:rsidRDefault="00EE0C11">
      <w:pPr gbicc:listString="三、" gbicc:numText="%1、" gbicc:numFmt="C" gbicc:numVal="3"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0612DA" w:rsidRDefault="00EE0C11">
      <w:pPr gbicc:listString="（一）" gbicc:numText="（%1）" gbicc:numFmt="J" gbicc:numVal="1" gbicc:numId="25">
        <w:pStyle w:val="a8"/>
        <w:numPr>
          <w:ilvl w:val="0"/>
          <w:numId w:val="25"/>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0612DA" w:rsidRDefault="00EE0C11">
      <w:pPr>
        <w:autoSpaceDE w:val="0"/>
        <w:autoSpaceDN w:val="0"/>
        <w:adjustRightInd w:val="0"/>
        <w:spacing w:line="28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099"/>
        <w:gridCol w:w="143"/>
        <w:gridCol w:w="3261"/>
        <w:gridCol w:w="1842"/>
        <w:gridCol w:w="2177"/>
      </w:tblGrid>
      <w:tr w:rsidR="000612DA" w:rsidTr="00500840">
        <w:trPr>
          <w:trHeight w:val="454"/>
        </w:trPr>
        <w:tc>
          <w:tcPr>
            <w:tcW w:w="729" w:type="pct"/>
            <w:gridSpan w:val="2"/>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081"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1277"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0612DA" w:rsidTr="00500840">
        <w:trPr>
          <w:trHeight w:val="454"/>
        </w:trPr>
        <w:tc>
          <w:tcPr>
            <w:tcW w:w="729" w:type="pct"/>
            <w:gridSpan w:val="2"/>
            <w:vAlign w:val="center"/>
            <w:vMerge w:val="restart"/>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100万元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0.12%</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100万元</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0.08%</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按笔收取，100元/笔</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100万元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1.20%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其他投资者</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100万元</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0.80%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认购费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按笔收取，1,000元/笔</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val="restart"/>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100万元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0.15%</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100万元</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0.12%</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按笔收取，100元/笔</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100万元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1.5%</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其他投资者</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100万元</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1.2%</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729" w:type="pct"/>
            <w:gridSpan w:val="2"/>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M</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500万元</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按笔收取，1,000元/笔</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同上</w:t>
            </w:r>
          </w:p>
        </w:tc>
      </w:tr>
      <w:tr w:rsidR="000612DA" w:rsidTr="00500840">
        <w:trPr>
          <w:trHeight w:val="454"/>
        </w:trPr>
        <w:tc>
          <w:tcPr>
            <w:tcW w:w="645" w:type="pct"/>
            <w:vAlign w:val="center"/>
            <w:vMerge w:val="restart"/>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&lt;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6天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1.50%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7天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29天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0.75%</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30天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89天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90天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179天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180天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364天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0.50%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365天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729天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0.25%</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0612DA" w:rsidTr="00500840">
        <w:trPr>
          <w:trHeight w:val="454"/>
        </w:trPr>
        <w:tc>
          <w:tcPr>
            <w:tcW w:w="645" w:type="pct"/>
            <w:vAlign w:val="center"/>
            <w:vMerge/>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97" w:type="pct"/>
            <w:gridSpan w:val="2"/>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N</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730天</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 xml:space="preserve"/>
            </w:r>
          </w:p>
        </w:tc>
        <w:tc>
          <w:tcPr>
            <w:tcW w:w="1081"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 xml:space="preserve">0.00%</w:t>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r w:rsidR="00EE0C11">
              <w:rPr>
                <w:rFonts w:ascii="方正仿宋简体" w:eastAsia="方正仿宋简体" w:hAnsi="方正仿宋简体" w:cs="方正仿宋简体" w:hint="eastAsia"/>
                <w:bCs/>
                <w:iCs/>
              </w:rPr>
              <w:t xml:space="preserve"> </w:t>
            </w:r>
            <w:r w:rsidR="00EE0C11">
              <w:rPr>
                <w:rFonts w:ascii="方正仿宋简体" w:eastAsia="方正仿宋简体" w:hint="eastAsia"/>
                <w:color w:val="333399"/>
              </w:rPr>
              <w:t xml:space="preserve"/>
            </w:r>
          </w:p>
        </w:tc>
        <w:tc>
          <w:tcPr>
            <w:tcW w:w="1277" w:type="pct"/>
            <w:vAlign w:val="center"/>
          </w:tcPr>
          <w:p w:rsidR="000612DA" w:rsidRDefault="00EE0C11">
            <w:pPr>
              <w:spacing w:line="28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bl>
    <w:p w:rsidR="000612DA" w:rsidRDefault="00F156A4">
      <w:pPr>
        <w:autoSpaceDE w:val="0"/>
        <w:autoSpaceDN w:val="0"/>
        <w:adjustRightInd w:val="0"/>
        <w:spacing w:line="280" w:lineRule="exact"/>
        <w:jc w:val="left"/>
        <w:rPr>
          <w:rFonts w:ascii="方正仿宋简体" w:eastAsia="方正仿宋简体" w:hAnsi="方正仿宋简体" w:cs="方正仿宋简体"/>
          <w:iCs/>
        </w:rPr>
      </w:pPr>
      <w:r w:rsidR="00EE0C11">
        <w:rPr>
          <w:rFonts w:ascii="方正仿宋简体" w:eastAsia="方正仿宋简体" w:hAnsi="方正仿宋简体" w:cs="方正仿宋简体" w:hint="eastAsia"/>
          <w:iCs/>
        </w:rPr>
        <w:t>注：</w:t>
      </w:r>
      <w:r w:rsidR="00EE0C11">
        <w:rPr>
          <w:rFonts w:ascii="方正仿宋简体" w:eastAsia="方正仿宋简体" w:hAnsi="方正仿宋简体" w:cs="方正仿宋简体" w:hint="eastAsia"/>
          <w:iCs/>
        </w:rPr>
        <w:t>如果投资者多次认购、申购，认购费、申购费适用单笔认购、申购金额所对应的费率。</w:t>
      </w:r>
    </w:p>
    <w:p w:rsidR="000612DA" w:rsidRDefault="00EE0C11">
      <w:pPr>
        <w:spacing w:line="28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rsidR="000612DA" w:rsidRDefault="00EE0C11">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517"/>
        <w:gridCol w:w="6005"/>
      </w:tblGrid>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rsidR="000612DA" w:rsidRDefault="00EE0C11">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rsidR="000612DA" w:rsidRDefault="00F156A4">
            <w:pPr>
              <w:spacing w:line="280" w:lineRule="exact"/>
              <w:jc w:val="center"/>
              <w:rPr>
                <w:rFonts w:ascii="方正仿宋简体" w:eastAsia="方正仿宋简体" w:hAnsi="方正仿宋简体" w:cs="方正仿宋简体"/>
                <w:bCs/>
                <w:iCs/>
              </w:rPr>
            </w:pPr>
            <w:r w:rsidR="00EE0C11">
              <w:rPr>
                <w:rFonts w:ascii="方正仿宋简体" w:eastAsia="方正仿宋简体" w:hint="eastAsia"/>
                <w:color w:val="333399"/>
              </w:rPr>
              <w:t/>
            </w:r>
            <w:r w:rsidR="00EE0C11">
              <w:rPr>
                <w:rFonts w:ascii="方正仿宋简体" w:eastAsia="方正仿宋简体" w:hAnsi="方正仿宋简体" w:cs="方正仿宋简体" w:hint="eastAsia"/>
                <w:bCs/>
                <w:iCs/>
              </w:rPr>
              <w:t xml:space="preserve"> </w:t>
            </w:r>
            <w:r w:rsidR="00EE0C11">
              <w:rPr>
                <w:rFonts w:ascii="方正仿宋简体" w:eastAsia="方正仿宋简体" w:hAnsi="方正仿宋简体" w:cs="方正仿宋简体" w:hint="eastAsia"/>
                <w:bCs/>
                <w:iCs/>
              </w:rPr>
              <w:t>0.80%</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rsidR="000612DA" w:rsidRDefault="00F156A4">
            <w:pPr>
              <w:spacing w:line="280" w:lineRule="exact"/>
              <w:jc w:val="center"/>
              <w:rPr>
                <w:rFonts w:ascii="方正仿宋简体" w:eastAsia="方正仿宋简体" w:hAnsiTheme="minorEastAsia" w:cs="方正仿宋简体"/>
                <w:bCs/>
                <w:iCs/>
              </w:rPr>
            </w:pPr>
            <w:r w:rsidR="00EE0C11">
              <w:rPr>
                <w:rFonts w:ascii="方正仿宋简体" w:eastAsia="方正仿宋简体" w:hint="eastAsia"/>
                <w:color w:val="333399"/>
              </w:rPr>
              <w:t/>
            </w:r>
            <w:r w:rsidR="00EE0C11">
              <w:rPr>
                <w:rFonts w:ascii="方正仿宋简体" w:eastAsia="方正仿宋简体" w:hAnsiTheme="minorEastAsia" w:cs="方正仿宋简体" w:hint="eastAsia"/>
                <w:bCs/>
                <w:iCs/>
              </w:rPr>
              <w:t xml:space="preserve"> </w:t>
            </w:r>
            <w:r w:rsidR="00EE0C11">
              <w:rPr>
                <w:rFonts w:ascii="方正仿宋简体" w:eastAsia="方正仿宋简体" w:hAnsiTheme="minorEastAsia" w:cs="方正仿宋简体" w:hint="eastAsia"/>
                <w:bCs/>
                <w:iCs/>
              </w:rPr>
              <w:t>0.15%</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rsidR="000612DA" w:rsidRDefault="00F156A4">
            <w:pPr>
              <w:spacing w:line="280" w:lineRule="exact"/>
              <w:jc w:val="center"/>
              <w:rPr>
                <w:rFonts w:ascii="方正仿宋简体" w:eastAsia="方正仿宋简体" w:hAnsiTheme="minorEastAsia" w:cs="方正仿宋简体"/>
                <w:bCs/>
                <w:iCs/>
              </w:rPr>
            </w:pPr>
            <w:r w:rsidR="00EE0C11">
              <w:rPr>
                <w:rFonts w:ascii="方正仿宋简体" w:eastAsia="方正仿宋简体" w:hint="eastAsia"/>
                <w:color w:val="333399"/>
              </w:rPr>
              <w:t/>
            </w:r>
            <w:r w:rsidR="00EE0C11">
              <w:rPr>
                <w:rFonts w:ascii="方正仿宋简体" w:eastAsia="方正仿宋简体" w:hAnsiTheme="minorEastAsia" w:cs="方正仿宋简体" w:hint="eastAsia"/>
                <w:bCs/>
                <w:iCs/>
              </w:rPr>
              <w:t xml:space="preserve"> </w:t>
            </w:r>
            <w:r w:rsidR="00EE0C11">
              <w:rPr>
                <w:rFonts w:ascii="方正仿宋简体" w:eastAsia="方正仿宋简体" w:hAnsiTheme="minorEastAsia" w:cs="方正仿宋简体" w:hint="eastAsia"/>
                <w:bCs/>
                <w:iCs/>
              </w:rPr>
              <w:t>0.00%</w:t>
            </w:r>
          </w:p>
        </w:tc>
      </w:tr>
      <w:tr w:rsidR="000612DA" w:rsidTr="00A1474F">
        <w:trPr>
          <w:trHeight w:val="454"/>
        </w:trPr>
        <w:tc>
          <w:tcPr>
            <w:tcW w:w="1477" w:type="pct"/>
            <w:vAlign w:val="center"/>
          </w:tcPr>
          <w:p w:rsidR="000612DA" w:rsidRDefault="00EE0C11">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rsidR="000612DA" w:rsidRDefault="00F156A4">
            <w:pPr>
              <w:spacing w:line="280" w:lineRule="exact"/>
              <w:jc w:val="center"/>
              <w:rPr>
                <w:rFonts w:ascii="方正仿宋简体" w:eastAsia="方正仿宋简体" w:hAnsiTheme="minorEastAsia" w:cs="方正仿宋简体"/>
                <w:bCs/>
                <w:iCs/>
              </w:rPr>
            </w:pPr>
            <w:r w:rsidR="00EE0C11">
              <w:rPr>
                <w:rFonts w:ascii="方正仿宋简体" w:eastAsia="方正仿宋简体" w:hAnsiTheme="minorEastAsia" w:cs="方正仿宋简体" w:hint="eastAsia"/>
                <w:bCs/>
                <w:iCs/>
              </w:rPr>
              <w:t>信息披露费、审计费等，详见招募说明书“基金的费用与税收”章节。</w:t>
            </w:r>
            <w:r w:rsidR="00EE0C11">
              <w:rPr>
                <w:rFonts w:ascii="方正仿宋简体" w:eastAsia="方正仿宋简体" w:hAnsiTheme="minorEastAsia" w:cs="方正仿宋简体" w:hint="eastAsia"/>
                <w:bCs/>
                <w:iCs/>
              </w:rPr>
              <w:t xml:space="preserve"> </w:t>
            </w:r>
            <w:r w:rsidR="00EE0C11">
              <w:rPr>
                <w:rFonts w:ascii="方正仿宋简体" w:eastAsia="方正仿宋简体" w:hint="eastAsia"/>
                <w:color w:val="333399"/>
              </w:rPr>
              <w:t/>
            </w:r>
          </w:p>
        </w:tc>
      </w:tr>
    </w:tbl>
    <w:p w:rsidR="000612DA" w:rsidRPr="00500840" w:rsidRDefault="00F156A4">
      <w:pPr>
        <w:autoSpaceDE w:val="0"/>
        <w:autoSpaceDN w:val="0"/>
        <w:adjustRightInd w:val="0"/>
        <w:spacing w:line="280" w:lineRule="exact"/>
        <w:jc w:val="left"/>
        <w:rPr>
          <w:rFonts w:ascii="方正仿宋简体" w:eastAsia="方正仿宋简体" w:hAnsi="方正仿宋简体" w:cs="方正仿宋简体"/>
          <w:bCs/>
          <w:iCs/>
        </w:rPr>
      </w:pPr>
      <w:r w:rsidR="00EE0C11">
        <w:rPr>
          <w:rFonts w:ascii="方正仿宋简体" w:eastAsia="方正仿宋简体" w:hAnsi="方正仿宋简体" w:cs="方正仿宋简体" w:hint="eastAsia"/>
          <w:bCs/>
          <w:iCs/>
        </w:rPr>
        <w:t>注：</w:t>
      </w:r>
      <w:r w:rsidR="00EE0C11">
        <w:rPr>
          <w:rFonts w:ascii="方正仿宋简体" w:eastAsia="方正仿宋简体" w:hAnsi="方正仿宋简体" w:cs="方正仿宋简体" w:hint="eastAsia"/>
          <w:bCs/>
          <w:iCs/>
        </w:rPr>
        <w:t xml:space="preserve">本基金交易证券、基金等产生的费用和税负，按实际发生额从基金资产扣除。</w:t>
      </w:r>
    </w:p>
    <w:p w:rsidR="000612DA" w:rsidRDefault="00EE0C11">
      <w:pPr gbicc:listString="四、" gbicc:numText="%1、" gbicc:numFmt="C" gbicc:numVal="4"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0612DA" w:rsidRDefault="00EE0C11">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0612DA" w:rsidRDefault="00F156A4">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本基金不提供任何保证。投资者可能损失投资本金。</w:t>
      </w:r>
    </w:p>
    <w:p w:rsidR="000612DA" w:rsidRDefault="00F156A4">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投资有风险，投资者购买基金时应认真阅读本基金的《招募说明书》等销售文件。</w:t>
      </w:r>
    </w:p>
    <w:p w:rsidR="000612DA" w:rsidRDefault="00F156A4">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本基金可能遇到的特有风险包括：（1）与指数化投资相关的特定风险（包括标的指数波动的风险、标的指数回报与股票市场平均回报偏离的风险、基金投资组合回报与标的指数回报偏离的风险、成份股停牌的风险、跟踪误差控制未达约定目标的风险、标的指数变更的风险、指数编制机构停止服务的风险等）；（2）采用量化增强策略进行投资管理可能引致的特定风险（包括量化增强策略的风险、数据错误风险、模型风险） ；（3）通过内地与香港股票市场交易互联互通机制投资于港股通股票的风险；（4）本基金投资范围包括股指期货、股票期权等金融衍生品以及资产支持证券等特殊品种而面临的其他额外风险；（5）本基金的投资范围包括存托凭证，除与其他仅投资于沪深市场股票的基金所面临的共同风险外，本基金还将面临存托凭证价格大幅波动甚至出现较大亏损的风险，以及与存托凭证发行机制相关的风险；（6）参与转融通证券出借业务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等其他一般风险。</w:t>
      </w:r>
    </w:p>
    <w:p w:rsidR="000612DA" w:rsidRDefault="00EE0C11">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投资价值、市场前景和收益作出实质性判断或保证，也不表明投资于本基金没有风险。基金管理人依照恪尽职守、诚实信用、谨慎勤勉的原则管理和运用基金财产，但不保证投资于本基金一定盈利，也不保证最低收益。基金投资者依基金合同取得基金份额，即成为基金份额持有人和基金合同的当事人。各方当事人因《基金合同》而产生的或与《基金合同》有关的一切争议应尽量通过协商、调解途径解决，如经友好协商未能解决的最终将通过仲裁方式处理，详见《基金合同》。</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612DA" w:rsidRDefault="00EE0C11">
      <w:pPr gbicc:listString="五、" gbicc:numText="%1、" gbicc:numFmt="C" gbicc:numVal="5" gbicc:numId="10">
        <w:numPr>
          <w:ilvl w:val="0"/>
          <w:numId w:val="10"/>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以下资料详见基金管理人网站[www.efunds.com.cn][客服电话:4008818088]</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rsidR="000612DA" w:rsidRPr="00500840" w:rsidRDefault="00F156A4" w:rsidP="00500840">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sectPr w:rsidR="000612DA">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15" w:rsidRDefault="00FC2A15" w:rsidP="0092395F">
      <w:r>
        <w:separator/>
      </w:r>
    </w:p>
  </w:endnote>
  <w:endnote w:type="continuationSeparator" w:id="0">
    <w:p w:rsidR="00FC2A15" w:rsidRDefault="00FC2A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56A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56A4">
              <w:rPr>
                <w:b/>
                <w:bCs/>
                <w:noProof/>
              </w:rPr>
              <w:t>17</w:t>
            </w:r>
            <w:r>
              <w:rPr>
                <w:b/>
                <w:bCs/>
                <w:sz w:val="24"/>
                <w:szCs w:val="24"/>
              </w:rPr>
              <w:fldChar w:fldCharType="end"/>
            </w:r>
          </w:p>
        </w:sdtContent>
      </w:sdt>
    </w:sdtContent>
  </w:sdt>
  <w:p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15" w:rsidRDefault="00FC2A15" w:rsidP="0092395F">
      <w:r>
        <w:separator/>
      </w:r>
    </w:p>
  </w:footnote>
  <w:footnote w:type="continuationSeparator" w:id="0">
    <w:p w:rsidR="00FC2A15" w:rsidRDefault="00FC2A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156"/>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0840"/>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36"/>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57C5"/>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AF794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17415"/>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5F1"/>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6A4"/>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A15"/>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C9A966-B0BA-407B-BDAA-9BEEB00C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charts/chart9.xml" Type="http://schemas.openxmlformats.org/officeDocument/2006/relationships/chart"/>
<Relationship Id="rId20" Target="charts/chart10.xml" Type="http://schemas.openxmlformats.org/officeDocument/2006/relationships/chart"/>
<Relationship Id="rId21" Target="charts/chart11.xml" Type="http://schemas.openxmlformats.org/officeDocument/2006/relationships/chart"/>
<Relationship Id="rId22" Target="charts/chart12.xml" Type="http://schemas.openxmlformats.org/officeDocument/2006/relationships/chart"/>
<Relationship Id="rId23" Target="footer1.xml" Type="http://schemas.openxmlformats.org/officeDocument/2006/relationships/footer"/>
<Relationship Id="rId24" Target="fontTable.xml" Type="http://schemas.openxmlformats.org/officeDocument/2006/relationships/fontTable"/>
<Relationship Id="rId25" Target="glossary/document.xml" Type="http://schemas.openxmlformats.org/officeDocument/2006/relationships/glossaryDocument"/>
<Relationship Id="rId26"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57CD086F-2F5C-4E66-8256-BB6100FD033D}"/>
      </w:docPartPr>
      <w:docPartBody>
        <w:p w:rsidR="00801DA5" w:rsidRDefault="009A3157">
          <w:r w:rsidRPr="00DA5A48">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4C0C"/>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14582"/>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48FC"/>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F7761B17-2ADB-44AC-AEFC-20DB66BF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17</Pages>
  <Words>625</Words>
  <Characters>3566</Characters>
  <Application>Microsoft Office Word</Application>
  <DocSecurity>0</DocSecurity>
  <Lines>29</Lines>
  <Paragraphs>8</Paragraphs>
  <ScaleCrop>false</ScaleCrop>
  <Company>shenduxitong</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陈鑫源</cp:lastModifiedBy>
  <dcterms:modified xsi:type="dcterms:W3CDTF">2021-02-03T03:28:00Z</dcterms:modified>
  <cp:revision>74</cp:revision>
</cp:coreProperties>
</file>