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sz w:val="52"/>
          <w:szCs w:val="52"/>
        </w:rPr>
      </w:pPr>
    </w:p>
    <w:p>
      <w:pPr>
        <w:jc w:val="center"/>
        <w:outlineLvl w:val="0"/>
        <w:rPr>
          <w:rFonts w:ascii="宋体" w:hAnsi="宋体" w:eastAsia="宋体"/>
          <w:b/>
          <w:sz w:val="72"/>
          <w:szCs w:val="72"/>
        </w:rPr>
      </w:pPr>
      <w:r>
        <w:rPr>
          <w:rFonts w:hint="eastAsia" w:ascii="宋体" w:hAnsi="宋体" w:eastAsia="宋体"/>
          <w:b/>
          <w:sz w:val="72"/>
          <w:szCs w:val="72"/>
        </w:rPr>
        <w:t>福建海峡银行</w:t>
      </w:r>
    </w:p>
    <w:p>
      <w:pPr>
        <w:jc w:val="center"/>
        <w:rPr>
          <w:rFonts w:ascii="宋体" w:hAnsi="宋体" w:eastAsia="宋体"/>
          <w:b/>
          <w:sz w:val="72"/>
          <w:szCs w:val="72"/>
        </w:rPr>
      </w:pPr>
    </w:p>
    <w:p>
      <w:pPr>
        <w:jc w:val="center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OCR专用设备</w:t>
      </w:r>
    </w:p>
    <w:p>
      <w:pPr>
        <w:jc w:val="center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  <w:lang w:eastAsia="zh-Hans"/>
        </w:rPr>
        <w:t>能力验证</w:t>
      </w:r>
      <w:r>
        <w:rPr>
          <w:rFonts w:hint="eastAsia" w:ascii="宋体" w:hAnsi="宋体" w:eastAsia="宋体"/>
          <w:b/>
          <w:sz w:val="52"/>
          <w:szCs w:val="52"/>
        </w:rPr>
        <w:t>测试方案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pStyle w:val="2"/>
      </w:pPr>
      <w:r>
        <w:rPr>
          <w:rFonts w:hint="eastAsia"/>
        </w:rPr>
        <w:t>概述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综述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测试目标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</w:t>
      </w:r>
      <w:r>
        <w:rPr>
          <w:rFonts w:hint="eastAsia" w:ascii="宋体" w:hAnsi="宋体" w:eastAsia="宋体"/>
          <w:sz w:val="28"/>
          <w:szCs w:val="28"/>
          <w:lang w:eastAsia="zh-Hans"/>
        </w:rPr>
        <w:t>能力验证</w:t>
      </w:r>
      <w:r>
        <w:rPr>
          <w:rFonts w:hint="eastAsia" w:ascii="宋体" w:hAnsi="宋体" w:eastAsia="宋体"/>
          <w:sz w:val="28"/>
          <w:szCs w:val="28"/>
        </w:rPr>
        <w:t>测试主要目的是为验证参与福建海峡银行OCR专用设备的厂商提供的</w:t>
      </w:r>
      <w:r>
        <w:rPr>
          <w:rFonts w:hint="eastAsia" w:ascii="宋体" w:hAnsi="宋体" w:eastAsia="宋体"/>
          <w:sz w:val="28"/>
          <w:szCs w:val="28"/>
          <w:lang w:eastAsia="zh-Hans"/>
        </w:rPr>
        <w:t>产品是否与投标文件中一致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Hans"/>
        </w:rPr>
        <w:t>若出现投标文件中应答满足，现场测试却未能展现出响应能力的厂商，视为虚报技术能力，投标文件视为无效。</w:t>
      </w:r>
    </w:p>
    <w:p>
      <w:pPr>
        <w:pStyle w:val="3"/>
        <w:rPr>
          <w:rFonts w:ascii="宋体" w:hAnsi="宋体"/>
        </w:rPr>
      </w:pPr>
      <w:bookmarkStart w:id="0" w:name="_Toc486577810"/>
      <w:r>
        <w:rPr>
          <w:rFonts w:hint="eastAsia" w:ascii="宋体" w:hAnsi="宋体"/>
        </w:rPr>
        <w:t>测试原则</w:t>
      </w:r>
      <w:bookmarkEnd w:id="0"/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</w:t>
      </w:r>
      <w:r>
        <w:rPr>
          <w:rFonts w:hint="eastAsia" w:ascii="宋体" w:hAnsi="宋体" w:eastAsia="宋体"/>
          <w:sz w:val="28"/>
          <w:szCs w:val="28"/>
          <w:lang w:eastAsia="zh-Hans"/>
        </w:rPr>
        <w:t>能力验证</w:t>
      </w:r>
      <w:r>
        <w:rPr>
          <w:rFonts w:hint="eastAsia" w:ascii="宋体" w:hAnsi="宋体" w:eastAsia="宋体"/>
          <w:sz w:val="28"/>
          <w:szCs w:val="28"/>
        </w:rPr>
        <w:t>测试将遵循以下原则：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（1）测试遵循公平、公正原则；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（2）标准统一、场景统一、环境统一，内容统一；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（3）依据最终的测试结果生成测试报告。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硬件、软件及网络环境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Hans"/>
        </w:rPr>
        <w:t>能力验证</w:t>
      </w:r>
      <w:r>
        <w:rPr>
          <w:rFonts w:hint="eastAsia" w:ascii="宋体" w:hAnsi="宋体" w:eastAsia="宋体"/>
          <w:sz w:val="28"/>
          <w:szCs w:val="28"/>
        </w:rPr>
        <w:t>测试将统一采用供应商提供的服务器，其中配置识别服务软件。网络环境处于行内本地网络中。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系统安全与数据安全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为了确保系统和数据的安全，将采取以下几个措施：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（1）本次测试数据只能用于我行项目。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（2）完成测试后，测试单位需彻底清除系统内存储的我行数据。</w:t>
      </w:r>
    </w:p>
    <w:p>
      <w:pPr>
        <w:pStyle w:val="2"/>
      </w:pPr>
      <w:r>
        <w:rPr>
          <w:rFonts w:hint="eastAsia"/>
        </w:rPr>
        <w:t>步骤说明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（1）供应商提供部署好识别服务的服务器，并验证服务可在行内环境正常运行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（2）进行现场私有化</w:t>
      </w:r>
      <w:r>
        <w:rPr>
          <w:rFonts w:hint="eastAsia" w:ascii="宋体" w:hAnsi="宋体" w:eastAsia="宋体"/>
          <w:sz w:val="28"/>
          <w:szCs w:val="28"/>
          <w:lang w:eastAsia="zh-Hans"/>
        </w:rPr>
        <w:t>测试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（3）根据现场</w:t>
      </w:r>
      <w:r>
        <w:rPr>
          <w:rFonts w:hint="eastAsia" w:ascii="宋体" w:hAnsi="宋体" w:eastAsia="宋体"/>
          <w:sz w:val="28"/>
          <w:szCs w:val="28"/>
          <w:lang w:eastAsia="zh-Hans"/>
        </w:rPr>
        <w:t>测试</w:t>
      </w:r>
      <w:r>
        <w:rPr>
          <w:rFonts w:hint="eastAsia" w:ascii="宋体" w:hAnsi="宋体" w:eastAsia="宋体"/>
          <w:sz w:val="28"/>
          <w:szCs w:val="28"/>
        </w:rPr>
        <w:t>结果</w:t>
      </w:r>
      <w:r>
        <w:rPr>
          <w:rFonts w:hint="eastAsia" w:ascii="宋体" w:hAnsi="宋体" w:eastAsia="宋体"/>
          <w:sz w:val="28"/>
          <w:szCs w:val="28"/>
          <w:lang w:eastAsia="zh-Hans"/>
        </w:rPr>
        <w:t>进行评估</w:t>
      </w:r>
    </w:p>
    <w:p>
      <w:pPr>
        <w:pStyle w:val="2"/>
      </w:pPr>
      <w:r>
        <w:rPr>
          <w:rFonts w:hint="eastAsia"/>
        </w:rPr>
        <w:t>评估内容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本次招标针对银行内部发票识别需求进行私有化OCR服务测试，测试主要内容包含：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票据全字段识别输出返回格式化结果，测试所要求票据全部种类、每种类型识别率、多票切割准确率。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在票面清晰（无明显遮挡、错行、印刷问题）情况下能准确识别票面内容，不能出现乱码、错行、无法识别等情况。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要求识别票据种类包含火车票、出租车票（全国）、定额发票、二手车、飞机票、过路费发票（全国）、机打票、及机动车票、增值税发票（要求可识别专票、普票、电子票、卷票、代开、通行费</w:t>
      </w:r>
      <w:r>
        <w:rPr>
          <w:rFonts w:hint="eastAsia" w:ascii="宋体" w:hAnsi="宋体" w:eastAsia="宋体"/>
          <w:sz w:val="28"/>
          <w:szCs w:val="28"/>
          <w:lang w:eastAsia="zh-Hans"/>
        </w:rPr>
        <w:t>、成品油发票</w:t>
      </w:r>
      <w:r>
        <w:rPr>
          <w:rFonts w:hint="eastAsia" w:ascii="宋体" w:hAnsi="宋体" w:eastAsia="宋体"/>
          <w:sz w:val="28"/>
          <w:szCs w:val="28"/>
        </w:rPr>
        <w:t>）、汽车票（全国）</w:t>
      </w:r>
      <w:r>
        <w:rPr>
          <w:rFonts w:hint="eastAsia" w:ascii="宋体" w:hAnsi="宋体" w:eastAsia="宋体"/>
          <w:sz w:val="28"/>
          <w:szCs w:val="28"/>
          <w:lang w:eastAsia="zh-Hans"/>
        </w:rPr>
        <w:t>、区块链发票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 xml:space="preserve">针对多票据场景可提供多图切割功能，存在多张多种类型票据的场景，按单张票据对图像进行分割，获得切割后的图像票据可用于自动分类和文本识别。 </w:t>
      </w:r>
    </w:p>
    <w:p>
      <w:pPr>
        <w:pStyle w:val="16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具备私有化部署能力。</w:t>
      </w:r>
    </w:p>
    <w:p>
      <w:pPr>
        <w:pStyle w:val="2"/>
      </w:pPr>
      <w:r>
        <w:rPr>
          <w:rFonts w:hint="eastAsia"/>
        </w:rPr>
        <w:t>评估方式</w:t>
      </w:r>
    </w:p>
    <w:p>
      <w:pPr>
        <w:pStyle w:val="3"/>
        <w:numPr>
          <w:ilvl w:val="1"/>
          <w:numId w:val="2"/>
        </w:numPr>
        <w:tabs>
          <w:tab w:val="clear" w:pos="432"/>
        </w:tabs>
        <w:rPr>
          <w:rFonts w:ascii="宋体" w:hAnsi="宋体"/>
        </w:rPr>
      </w:pPr>
      <w:r>
        <w:rPr>
          <w:rFonts w:hint="eastAsia" w:ascii="宋体" w:hAnsi="宋体"/>
        </w:rPr>
        <w:t>票据识别OCR服务能力</w:t>
      </w:r>
    </w:p>
    <w:p>
      <w:pPr>
        <w:pStyle w:val="15"/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现场</w:t>
      </w:r>
      <w:r>
        <w:rPr>
          <w:rFonts w:hint="eastAsia" w:ascii="宋体" w:hAnsi="宋体" w:eastAsia="宋体"/>
          <w:sz w:val="28"/>
          <w:szCs w:val="28"/>
          <w:lang w:eastAsia="zh-Hans"/>
        </w:rPr>
        <w:t>测试</w:t>
      </w:r>
      <w:r>
        <w:rPr>
          <w:rFonts w:hint="eastAsia" w:ascii="宋体" w:hAnsi="宋体" w:eastAsia="宋体"/>
          <w:sz w:val="28"/>
          <w:szCs w:val="28"/>
        </w:rPr>
        <w:t>过程中，厂商需携带私有化服务器，在离线状态下识别发票，识别提供发票单票及多票，测试结果并导出交给银行。</w:t>
      </w:r>
    </w:p>
    <w:p>
      <w:pPr>
        <w:pStyle w:val="15"/>
        <w:spacing w:line="360" w:lineRule="auto"/>
        <w:ind w:firstLine="371" w:firstLineChars="177"/>
      </w:pPr>
      <w:r>
        <w:rPr>
          <w:rFonts w:hint="eastAsia" w:ascii="楷体" w:hAnsi="楷体" w:eastAsia="楷体" w:cs="Times New Roman"/>
        </w:rPr>
        <w:drawing>
          <wp:inline distT="0" distB="0" distL="0" distR="0">
            <wp:extent cx="4173855" cy="1978025"/>
            <wp:effectExtent l="0" t="0" r="5080" b="3175"/>
            <wp:docPr id="3" name="图片 3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游戏机, 桌子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991" cy="198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Hans"/>
        </w:rPr>
      </w:pPr>
      <w:r>
        <w:rPr>
          <w:rFonts w:hint="eastAsia" w:ascii="宋体" w:hAnsi="宋体" w:eastAsia="宋体"/>
          <w:sz w:val="28"/>
          <w:szCs w:val="28"/>
          <w:lang w:eastAsia="zh-Hans"/>
        </w:rPr>
        <w:t>识别率不低于95%（按正确张数计算，字段不识别或识别错，该张当做错误处理）。</w:t>
      </w:r>
    </w:p>
    <w:p>
      <w:pPr>
        <w:pStyle w:val="15"/>
        <w:spacing w:line="360" w:lineRule="auto"/>
        <w:ind w:firstLine="495" w:firstLineChars="177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每种类型准备100张以上样本</w:t>
      </w:r>
      <w:bookmarkStart w:id="3" w:name="_GoBack"/>
      <w:bookmarkEnd w:id="3"/>
      <w:r>
        <w:rPr>
          <w:rFonts w:hint="eastAsia" w:ascii="宋体" w:hAnsi="宋体" w:eastAsia="宋体"/>
          <w:sz w:val="28"/>
          <w:szCs w:val="28"/>
          <w:lang w:val="en-US" w:eastAsia="zh-CN"/>
        </w:rPr>
        <w:t>用于测试。</w:t>
      </w:r>
    </w:p>
    <w:p>
      <w:pPr>
        <w:pStyle w:val="2"/>
      </w:pPr>
      <w:r>
        <w:rPr>
          <w:rFonts w:hint="eastAsia"/>
        </w:rPr>
        <w:t>详细步骤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票据种类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案例一：票据种类测试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测试目标：测试全票据种类的识别情况，满足行内发展需求。</w:t>
      </w:r>
    </w:p>
    <w:tbl>
      <w:tblPr>
        <w:tblStyle w:val="11"/>
        <w:tblW w:w="72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57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票种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识别率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支持票种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火车票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出租车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定额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二手车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飞机票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过路费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机动车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增值税（专票、普票、电子、卷票、区块链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、成品油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汽车票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pStyle w:val="16"/>
        <w:ind w:firstLine="56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火车票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案例二：火车票识别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测试目标：测试OCR全字段支持情况、整体识别准确率。重点关注旅客身份证号码、旅客姓名。</w:t>
      </w:r>
    </w:p>
    <w:tbl>
      <w:tblPr>
        <w:tblStyle w:val="11"/>
        <w:tblW w:w="6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票据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火车票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下车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整体准确率</w:t>
            </w:r>
          </w:p>
        </w:tc>
        <w:tc>
          <w:tcPr>
            <w:tcW w:w="4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出租车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案例三：出租车票识别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测试目标：测试出租车全国随机种类OCR全字段识别支持情况、整体识别准确率、识别响应时间。重点关注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监制章、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燃油附加费。</w:t>
      </w:r>
    </w:p>
    <w:tbl>
      <w:tblPr>
        <w:tblStyle w:val="11"/>
        <w:tblW w:w="6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票据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出租车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上车时间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下车时间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车牌号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监制章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燃油附加费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</w:t>
            </w:r>
          </w:p>
        </w:tc>
      </w:tr>
    </w:tbl>
    <w:p>
      <w:pPr>
        <w:pStyle w:val="16"/>
        <w:ind w:firstLine="560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定额发票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四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：定额发票识别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测试目标：测试定额发票全字段OCR支持情况、整体票据准确率、识别响应时间。重点关注发票专用章内容。</w:t>
      </w:r>
    </w:p>
    <w:tbl>
      <w:tblPr>
        <w:tblStyle w:val="11"/>
        <w:tblW w:w="6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定额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发票专用章</w:t>
            </w: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监制章内容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 xml:space="preserve">二手车 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五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：二手车发票识别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测试目标：测试二手车发票全字段OCR识别情况，整体识别准确率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识别响应时间。</w:t>
      </w:r>
    </w:p>
    <w:tbl>
      <w:tblPr>
        <w:tblStyle w:val="11"/>
        <w:tblW w:w="60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1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二手车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开票日期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车价合计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卖方单位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卖方单位代码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买方单位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买方单位代码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二手车市场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二手车市场纳税人识别号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车牌照号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登记证号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车辆识别代码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厂牌型号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飞机票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六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：飞机行程单测试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测试目标：测试飞机行程单全字段OCR识别情况、整体识别准确率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识别响应时间。重点关注旅客姓名、身份证号、行程明细（若含有多行需多行输出）</w:t>
      </w:r>
    </w:p>
    <w:tbl>
      <w:tblPr>
        <w:tblStyle w:val="11"/>
        <w:tblW w:w="6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飞机行程单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电子客票号码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校验码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填开日期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销售单位代号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填开单位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票价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燃油附加费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民航发展基金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保险费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到达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航班号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乘机</w:t>
            </w: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乘机</w:t>
            </w: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座位等级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承运人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过路费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七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：全国过路费发票识别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测试目标：针对全国过路费发票随机抽样全字段OCR识别情况测试、关注支持字段、整体准确率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识别响应时间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。重点关注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是否含高速费用。</w:t>
      </w:r>
    </w:p>
    <w:tbl>
      <w:tblPr>
        <w:tblStyle w:val="11"/>
        <w:tblW w:w="6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过路费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出口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是否高速费用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/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机打发票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八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：机打发票测试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测试目标：测试机打票全字段信息OCR识别支持情况、整体识别率、响应时间。重点关注是否含有明细栏目、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监制章内容字段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。</w:t>
      </w:r>
    </w:p>
    <w:tbl>
      <w:tblPr>
        <w:tblStyle w:val="11"/>
        <w:tblW w:w="62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5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机打发票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开票日期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校验码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销售方名称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销售方税号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购买方名称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购买方税号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明细信息：名称、金额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监制章内容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3"/>
        <w:rPr>
          <w:rFonts w:ascii="宋体" w:hAnsi="宋体"/>
        </w:rPr>
      </w:pPr>
      <w:r>
        <w:rPr>
          <w:rFonts w:hint="eastAsia" w:ascii="宋体" w:hAnsi="宋体"/>
        </w:rPr>
        <w:t>机动车发票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：机动车发票测试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测试目标：测试机动车票全字段信息OCR识别支持情况、整体识别率、响应时间。</w:t>
      </w:r>
    </w:p>
    <w:tbl>
      <w:tblPr>
        <w:tblStyle w:val="11"/>
        <w:tblW w:w="62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65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动车</w:t>
            </w:r>
            <w:r>
              <w:rPr>
                <w:rFonts w:hint="eastAsia" w:ascii="宋体" w:hAnsi="宋体" w:eastAsia="宋体"/>
                <w:szCs w:val="21"/>
              </w:rPr>
              <w:t>发票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税前</w:t>
            </w: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开票日期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总金额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销售单位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销货单位纳税人识别号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销货单位地址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销货单位电话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销货单位账号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买方单位/个人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买方单位代码/个人身份证号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税额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税率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pStyle w:val="16"/>
        <w:ind w:firstLine="560"/>
        <w:rPr>
          <w:rFonts w:hint="eastAsia" w:ascii="宋体" w:hAnsi="宋体" w:eastAsia="宋体"/>
          <w:color w:val="FF0000"/>
          <w:sz w:val="28"/>
          <w:szCs w:val="28"/>
        </w:rPr>
      </w:pPr>
      <w:bookmarkStart w:id="1" w:name="_Toc47358114"/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3"/>
        <w:tabs>
          <w:tab w:val="clear" w:pos="786"/>
        </w:tabs>
        <w:rPr>
          <w:rFonts w:ascii="宋体" w:hAnsi="宋体"/>
        </w:rPr>
      </w:pPr>
      <w:r>
        <w:rPr>
          <w:rFonts w:hint="eastAsia" w:ascii="宋体" w:hAnsi="宋体"/>
        </w:rPr>
        <w:t>增值税（包含专票、普票、电子票、卷票）</w:t>
      </w:r>
      <w:bookmarkEnd w:id="1"/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案例十：增值税发票测试</w:t>
      </w:r>
    </w:p>
    <w:p>
      <w:pPr>
        <w:pStyle w:val="15"/>
        <w:spacing w:line="360" w:lineRule="auto"/>
        <w:ind w:firstLine="0" w:firstLineChars="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测试目标：测试机动车票全字段信息OCR识别支持情况、整体识别率、响应时间。重点关注是否含有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成品油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标志、代开标志、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通行费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标志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发票专用章识别情况、监制章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、明细、购销方地址和开户行信息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。</w:t>
      </w:r>
    </w:p>
    <w:tbl>
      <w:tblPr>
        <w:tblStyle w:val="11"/>
        <w:tblW w:w="6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30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增值税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开票日期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税前金额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税后金额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校验码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销售方名称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销售方税号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购买方名称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购买方税号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发票联数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发票联次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密码区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代开</w:t>
            </w:r>
            <w:r>
              <w:rPr>
                <w:rFonts w:hint="eastAsia" w:ascii="宋体" w:hAnsi="宋体" w:eastAsia="宋体"/>
                <w:szCs w:val="21"/>
              </w:rPr>
              <w:t>标志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成品油</w:t>
            </w:r>
            <w:r>
              <w:rPr>
                <w:rFonts w:hint="eastAsia" w:ascii="宋体" w:hAnsi="宋体" w:eastAsia="宋体"/>
                <w:szCs w:val="21"/>
              </w:rPr>
              <w:t>标志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通行费标志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机器编号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车船税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收款人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复核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开票人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购买方地址联系方式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购买方银行账户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销售方地址联系方式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销售方银行账户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货物或应税劳务、服务名称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（明细）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规格型号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发票专用章</w:t>
            </w: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监制章内容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整体识别率</w:t>
            </w:r>
          </w:p>
        </w:tc>
        <w:tc>
          <w:tcPr>
            <w:tcW w:w="5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3"/>
        <w:tabs>
          <w:tab w:val="clear" w:pos="786"/>
        </w:tabs>
        <w:rPr>
          <w:rFonts w:ascii="宋体" w:hAnsi="宋体"/>
        </w:rPr>
      </w:pPr>
      <w:bookmarkStart w:id="2" w:name="_Toc47358115"/>
      <w:r>
        <w:rPr>
          <w:rFonts w:hint="eastAsia" w:ascii="宋体" w:hAnsi="宋体"/>
        </w:rPr>
        <w:t>汽车票</w:t>
      </w:r>
      <w:bookmarkEnd w:id="2"/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案例十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一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：汽车票测试</w:t>
      </w:r>
    </w:p>
    <w:p>
      <w:pPr>
        <w:spacing w:line="360" w:lineRule="auto"/>
        <w:ind w:left="78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测试目标：测试汽车票全字段信息OCR识别支持情况、整体识别率、响应时间。重点关注旅客姓名、身份证号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、客运汽车保险费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。</w:t>
      </w:r>
    </w:p>
    <w:tbl>
      <w:tblPr>
        <w:tblStyle w:val="11"/>
        <w:tblW w:w="6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187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4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客运汽车</w:t>
            </w: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发票代码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下车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旅客姓名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客运汽车保险费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</w:tbl>
    <w:p>
      <w:pPr>
        <w:pStyle w:val="16"/>
        <w:ind w:firstLine="56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  <w:lang w:eastAsia="zh-Hans"/>
        </w:rPr>
        <w:t>识别率：</w:t>
      </w:r>
    </w:p>
    <w:p>
      <w:pPr>
        <w:pStyle w:val="15"/>
        <w:spacing w:line="360" w:lineRule="auto"/>
        <w:ind w:firstLine="0" w:firstLineChars="0"/>
        <w:rPr>
          <w:rFonts w:ascii="宋体" w:hAnsi="宋体" w:eastAsia="宋体"/>
          <w:szCs w:val="21"/>
        </w:rPr>
      </w:pPr>
    </w:p>
    <w:p>
      <w:pPr>
        <w:pStyle w:val="3"/>
        <w:tabs>
          <w:tab w:val="clear" w:pos="786"/>
        </w:tabs>
        <w:rPr>
          <w:rFonts w:ascii="宋体" w:hAnsi="宋体"/>
        </w:rPr>
      </w:pPr>
      <w:r>
        <w:rPr>
          <w:rFonts w:hint="eastAsia" w:ascii="宋体" w:hAnsi="宋体"/>
        </w:rPr>
        <w:t>发票</w:t>
      </w:r>
      <w:r>
        <w:rPr>
          <w:rFonts w:hint="eastAsia" w:ascii="宋体" w:hAnsi="宋体"/>
          <w:lang w:eastAsia="zh-Hans"/>
        </w:rPr>
        <w:t>格式</w:t>
      </w:r>
      <w:r>
        <w:rPr>
          <w:rFonts w:hint="eastAsia" w:ascii="宋体" w:hAnsi="宋体"/>
        </w:rPr>
        <w:t>识别</w:t>
      </w:r>
    </w:p>
    <w:p>
      <w:pPr>
        <w:ind w:firstLine="700" w:firstLineChars="250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案例十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二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：支持ofd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cs="Times New Roman" w:asciiTheme="majorEastAsia" w:hAnsiTheme="majorEastAsia" w:eastAsiaTheme="majorEastAsia"/>
          <w:sz w:val="28"/>
          <w:szCs w:val="28"/>
          <w:lang w:eastAsia="zh-Hans"/>
        </w:rPr>
        <w:t>PNG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cs="Times New Roman" w:asciiTheme="majorEastAsia" w:hAnsiTheme="majorEastAsia" w:eastAsiaTheme="majorEastAsia"/>
          <w:sz w:val="28"/>
          <w:szCs w:val="28"/>
          <w:lang w:eastAsia="zh-Hans"/>
        </w:rPr>
        <w:t>JPG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cs="Times New Roman" w:asciiTheme="majorEastAsia" w:hAnsiTheme="majorEastAsia" w:eastAsiaTheme="majorEastAsia"/>
          <w:sz w:val="28"/>
          <w:szCs w:val="28"/>
          <w:lang w:eastAsia="zh-Hans"/>
        </w:rPr>
        <w:t>JPEG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eastAsia="zh-Hans"/>
        </w:rPr>
        <w:t>、</w:t>
      </w:r>
      <w:r>
        <w:rPr>
          <w:rFonts w:cs="Times New Roman" w:asciiTheme="majorEastAsia" w:hAnsiTheme="majorEastAsia" w:eastAsiaTheme="majorEastAsia"/>
          <w:sz w:val="28"/>
          <w:szCs w:val="28"/>
          <w:lang w:eastAsia="zh-Hans"/>
        </w:rPr>
        <w:t>PDF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格式的增值税专用发票识别。</w:t>
      </w:r>
    </w:p>
    <w:tbl>
      <w:tblPr>
        <w:tblStyle w:val="11"/>
        <w:tblW w:w="6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1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O</w:t>
            </w:r>
            <w:r>
              <w:rPr>
                <w:rFonts w:ascii="宋体" w:hAnsi="宋体" w:eastAsia="宋体"/>
                <w:szCs w:val="21"/>
              </w:rPr>
              <w:t>FD</w:t>
            </w:r>
            <w:r>
              <w:rPr>
                <w:rFonts w:hint="eastAsia" w:ascii="宋体" w:hAnsi="宋体" w:eastAsia="宋体"/>
                <w:szCs w:val="21"/>
              </w:rPr>
              <w:t>识别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识别</w:t>
            </w:r>
            <w:r>
              <w:rPr>
                <w:rFonts w:ascii="宋体" w:hAnsi="宋体" w:eastAsia="宋体"/>
                <w:szCs w:val="21"/>
              </w:rPr>
              <w:t>OFD</w:t>
            </w:r>
            <w:r>
              <w:rPr>
                <w:rFonts w:hint="eastAsia" w:ascii="宋体" w:hAnsi="宋体" w:eastAsia="宋体"/>
                <w:szCs w:val="21"/>
              </w:rPr>
              <w:t>格式的增值税专用发票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其他格式识别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识别</w:t>
            </w:r>
            <w:r>
              <w:rPr>
                <w:rFonts w:ascii="宋体" w:hAnsi="宋体" w:eastAsia="宋体"/>
                <w:szCs w:val="21"/>
                <w:lang w:eastAsia="zh-Hans"/>
              </w:rPr>
              <w:t>PNG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ascii="宋体" w:hAnsi="宋体" w:eastAsia="宋体"/>
                <w:szCs w:val="21"/>
                <w:lang w:eastAsia="zh-Hans"/>
              </w:rPr>
              <w:t>JPG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ascii="宋体" w:hAnsi="宋体" w:eastAsia="宋体"/>
                <w:szCs w:val="21"/>
                <w:lang w:eastAsia="zh-Hans"/>
              </w:rPr>
              <w:t>JPEG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ascii="宋体" w:hAnsi="宋体" w:eastAsia="宋体"/>
                <w:szCs w:val="21"/>
                <w:lang w:eastAsia="zh-Hans"/>
              </w:rPr>
              <w:t>PDF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格式的发票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spacing w:line="360" w:lineRule="auto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37" w:footer="34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B2BDE"/>
    <w:multiLevelType w:val="multilevel"/>
    <w:tmpl w:val="3B6B2BD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6"/>
        </w:tabs>
        <w:ind w:left="78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578"/>
        </w:tabs>
        <w:ind w:left="578" w:hanging="578"/>
      </w:pPr>
      <w:rPr>
        <w:rFonts w:hint="default" w:ascii="Arial" w:hAnsi="Arial" w:cs="Arial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Arial" w:hAnsi="Arial" w:cs="Arial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08EA"/>
    <w:rsid w:val="00065A09"/>
    <w:rsid w:val="0008361E"/>
    <w:rsid w:val="000B0CB2"/>
    <w:rsid w:val="00147425"/>
    <w:rsid w:val="00183FB5"/>
    <w:rsid w:val="001877E0"/>
    <w:rsid w:val="001B06C2"/>
    <w:rsid w:val="001F6530"/>
    <w:rsid w:val="00220186"/>
    <w:rsid w:val="002605E6"/>
    <w:rsid w:val="002C40AB"/>
    <w:rsid w:val="002E1873"/>
    <w:rsid w:val="00304FD4"/>
    <w:rsid w:val="00321860"/>
    <w:rsid w:val="00331D66"/>
    <w:rsid w:val="003404DD"/>
    <w:rsid w:val="00347346"/>
    <w:rsid w:val="00347ADE"/>
    <w:rsid w:val="00373762"/>
    <w:rsid w:val="00376562"/>
    <w:rsid w:val="003C3608"/>
    <w:rsid w:val="00401F20"/>
    <w:rsid w:val="004031D7"/>
    <w:rsid w:val="00413AFE"/>
    <w:rsid w:val="00455D60"/>
    <w:rsid w:val="004D053F"/>
    <w:rsid w:val="004E0C1E"/>
    <w:rsid w:val="00506CFA"/>
    <w:rsid w:val="00526769"/>
    <w:rsid w:val="00527D6A"/>
    <w:rsid w:val="00550240"/>
    <w:rsid w:val="00577D37"/>
    <w:rsid w:val="00593957"/>
    <w:rsid w:val="005A7737"/>
    <w:rsid w:val="005B3757"/>
    <w:rsid w:val="005F43A0"/>
    <w:rsid w:val="006307D6"/>
    <w:rsid w:val="006458D9"/>
    <w:rsid w:val="00657CB2"/>
    <w:rsid w:val="00666E48"/>
    <w:rsid w:val="006975DB"/>
    <w:rsid w:val="006B179F"/>
    <w:rsid w:val="00714B49"/>
    <w:rsid w:val="00726A4B"/>
    <w:rsid w:val="00734062"/>
    <w:rsid w:val="007F1C87"/>
    <w:rsid w:val="00837D7E"/>
    <w:rsid w:val="00856235"/>
    <w:rsid w:val="008C4F2C"/>
    <w:rsid w:val="008E5C09"/>
    <w:rsid w:val="008F51F7"/>
    <w:rsid w:val="00947926"/>
    <w:rsid w:val="00972EE5"/>
    <w:rsid w:val="00986AF5"/>
    <w:rsid w:val="009C2A70"/>
    <w:rsid w:val="009C60DA"/>
    <w:rsid w:val="009E1CAD"/>
    <w:rsid w:val="00B30065"/>
    <w:rsid w:val="00B72735"/>
    <w:rsid w:val="00B82539"/>
    <w:rsid w:val="00B922B4"/>
    <w:rsid w:val="00B922E4"/>
    <w:rsid w:val="00BE2A93"/>
    <w:rsid w:val="00CC39C2"/>
    <w:rsid w:val="00CC6F11"/>
    <w:rsid w:val="00CC7704"/>
    <w:rsid w:val="00D55875"/>
    <w:rsid w:val="00D73209"/>
    <w:rsid w:val="00DA1ABA"/>
    <w:rsid w:val="00DA5D14"/>
    <w:rsid w:val="00DA6BB8"/>
    <w:rsid w:val="00DB7900"/>
    <w:rsid w:val="00DE61EA"/>
    <w:rsid w:val="00DF1FC8"/>
    <w:rsid w:val="00E23E4B"/>
    <w:rsid w:val="00E75A7F"/>
    <w:rsid w:val="00E814DA"/>
    <w:rsid w:val="00E81EC1"/>
    <w:rsid w:val="00EE073A"/>
    <w:rsid w:val="00EF0F44"/>
    <w:rsid w:val="00F036BD"/>
    <w:rsid w:val="00FA4775"/>
    <w:rsid w:val="00FC014A"/>
    <w:rsid w:val="00FC693D"/>
    <w:rsid w:val="00FF3B71"/>
    <w:rsid w:val="02447ED2"/>
    <w:rsid w:val="0D4A5C13"/>
    <w:rsid w:val="0DA3622A"/>
    <w:rsid w:val="0EFF5C17"/>
    <w:rsid w:val="11072F50"/>
    <w:rsid w:val="149518D5"/>
    <w:rsid w:val="1598394F"/>
    <w:rsid w:val="1BAA400F"/>
    <w:rsid w:val="1C7916DF"/>
    <w:rsid w:val="296E20CC"/>
    <w:rsid w:val="2B170FBA"/>
    <w:rsid w:val="31EC243C"/>
    <w:rsid w:val="34EC4425"/>
    <w:rsid w:val="3AFA785B"/>
    <w:rsid w:val="3B510BA3"/>
    <w:rsid w:val="3B521684"/>
    <w:rsid w:val="3CEC5C71"/>
    <w:rsid w:val="3D8D6B8E"/>
    <w:rsid w:val="42DFF74E"/>
    <w:rsid w:val="43BE4D7E"/>
    <w:rsid w:val="467AE7DC"/>
    <w:rsid w:val="4B463E43"/>
    <w:rsid w:val="4E524616"/>
    <w:rsid w:val="5341351C"/>
    <w:rsid w:val="55262D78"/>
    <w:rsid w:val="5AA308EA"/>
    <w:rsid w:val="6C637ABE"/>
    <w:rsid w:val="6F4A28E8"/>
    <w:rsid w:val="73692E47"/>
    <w:rsid w:val="77D73428"/>
    <w:rsid w:val="7C76C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numPr>
        <w:ilvl w:val="3"/>
        <w:numId w:val="1"/>
      </w:numPr>
      <w:tabs>
        <w:tab w:val="left" w:pos="432"/>
      </w:tabs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TML Code"/>
    <w:basedOn w:val="13"/>
    <w:qFormat/>
    <w:uiPriority w:val="0"/>
    <w:rPr>
      <w:rFonts w:ascii="DejaVu Sans" w:hAnsi="DejaVu Sans"/>
      <w:sz w:val="20"/>
    </w:rPr>
  </w:style>
  <w:style w:type="paragraph" w:customStyle="1" w:styleId="15">
    <w:name w:val="列表段落1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清單段落1"/>
    <w:basedOn w:val="1"/>
    <w:qFormat/>
    <w:uiPriority w:val="1"/>
    <w:pPr>
      <w:spacing w:before="43"/>
      <w:ind w:left="1959" w:hanging="1960"/>
    </w:pPr>
    <w:rPr>
      <w:rFonts w:ascii="宋体" w:hAnsi="宋体" w:eastAsia="宋体" w:cs="宋体"/>
      <w:szCs w:val="24"/>
      <w:lang w:val="zh-CN" w:bidi="zh-CN"/>
    </w:rPr>
  </w:style>
  <w:style w:type="character" w:customStyle="1" w:styleId="18">
    <w:name w:val="标题 4 字符"/>
    <w:basedOn w:val="13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9">
    <w:name w:val="文档结构图 字符"/>
    <w:basedOn w:val="13"/>
    <w:link w:val="6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2 字符"/>
    <w:basedOn w:val="13"/>
    <w:link w:val="3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14</Pages>
  <Words>515</Words>
  <Characters>2937</Characters>
  <Lines>24</Lines>
  <Paragraphs>6</Paragraphs>
  <TotalTime>1</TotalTime>
  <ScaleCrop>false</ScaleCrop>
  <LinksUpToDate>false</LinksUpToDate>
  <CharactersWithSpaces>3446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2021-02-25T15:15:00Z</dcterms:created>
  <dc:creator>WPS_1498978765</dc:creator>
  <cp:lastModifiedBy>许文言</cp:lastModifiedBy>
  <dcterms:modified xsi:type="dcterms:W3CDTF">2021-07-19T09:54:59Z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