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2023年定向发行股份财务顾问服务项目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最</w:t>
      </w: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一期</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监管部门评级结果的文件；</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2023年定向发行股份财务顾问服务项目 </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w:t>
      </w:r>
      <w:bookmarkStart w:id="1" w:name="_GoBack"/>
      <w:bookmarkEnd w:id="1"/>
      <w:r>
        <w:rPr>
          <w:rFonts w:ascii="仿宋_GB2312" w:hAnsi="Times New Roman" w:eastAsia="仿宋_GB2312" w:cs="Times New Roman"/>
          <w:sz w:val="28"/>
          <w:szCs w:val="28"/>
        </w:rPr>
        <w:t>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0AF829A0"/>
    <w:rsid w:val="11BD7C3C"/>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0650D26"/>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2023-05-18T04:11:29Z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