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b/>
          <w:bCs/>
          <w:color w:val="000000"/>
          <w:kern w:val="0"/>
          <w:sz w:val="36"/>
          <w:szCs w:val="36"/>
          <w:highlight w:val="none"/>
        </w:rPr>
        <w:t>福建海峡银行</w:t>
      </w:r>
      <w:r>
        <w:rPr>
          <w:rFonts w:hint="eastAsia" w:ascii="仿宋_GB2312" w:hAnsi="仿宋_GB2312" w:eastAsia="仿宋_GB2312" w:cs="仿宋_GB2312"/>
          <w:b/>
          <w:bCs/>
          <w:color w:val="000000"/>
          <w:kern w:val="0"/>
          <w:sz w:val="36"/>
          <w:szCs w:val="36"/>
          <w:highlight w:val="none"/>
          <w:lang w:val="en-US" w:eastAsia="zh-CN"/>
        </w:rPr>
        <w:t>福州地区评估公司</w:t>
      </w:r>
      <w:r>
        <w:rPr>
          <w:rFonts w:hint="eastAsia" w:ascii="仿宋_GB2312" w:hAnsi="仿宋_GB2312" w:eastAsia="仿宋_GB2312" w:cs="仿宋_GB2312"/>
          <w:b/>
          <w:bCs/>
          <w:color w:val="000000"/>
          <w:kern w:val="0"/>
          <w:sz w:val="36"/>
          <w:szCs w:val="36"/>
          <w:highlight w:val="none"/>
        </w:rPr>
        <w:t>入围资格报审表</w:t>
      </w:r>
    </w:p>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40"/>
        <w:gridCol w:w="1450"/>
        <w:gridCol w:w="95"/>
        <w:gridCol w:w="1480"/>
        <w:gridCol w:w="65"/>
        <w:gridCol w:w="1160"/>
        <w:gridCol w:w="385"/>
        <w:gridCol w:w="1065"/>
        <w:gridCol w:w="480"/>
        <w:gridCol w:w="15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公司名称</w:t>
            </w:r>
          </w:p>
        </w:tc>
        <w:tc>
          <w:tcPr>
            <w:tcW w:w="7728" w:type="dxa"/>
            <w:gridSpan w:val="9"/>
            <w:tcBorders>
              <w:bottom w:val="single" w:color="auto" w:sz="4" w:space="0"/>
            </w:tcBorders>
            <w:vAlign w:val="center"/>
          </w:tcPr>
          <w:p>
            <w:pPr>
              <w:jc w:val="left"/>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lang w:val="en-US" w:eastAsia="zh-CN"/>
              </w:rPr>
              <w:t>实收</w:t>
            </w:r>
            <w:r>
              <w:rPr>
                <w:rFonts w:hint="eastAsia" w:ascii="仿宋_GB2312" w:hAnsi="仿宋_GB2312" w:eastAsia="仿宋_GB2312" w:cs="仿宋_GB2312"/>
                <w:color w:val="000000"/>
                <w:kern w:val="0"/>
                <w:sz w:val="24"/>
                <w:szCs w:val="24"/>
                <w:highlight w:val="none"/>
              </w:rPr>
              <w:t>资本</w:t>
            </w:r>
          </w:p>
        </w:tc>
        <w:tc>
          <w:tcPr>
            <w:tcW w:w="1450" w:type="dxa"/>
            <w:tcBorders>
              <w:top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57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成立日期</w:t>
            </w:r>
          </w:p>
        </w:tc>
        <w:tc>
          <w:tcPr>
            <w:tcW w:w="122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45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营业期限</w:t>
            </w:r>
          </w:p>
        </w:tc>
        <w:tc>
          <w:tcPr>
            <w:tcW w:w="2028" w:type="dxa"/>
            <w:gridSpan w:val="2"/>
            <w:tcBorders>
              <w:top w:val="single" w:color="auto" w:sz="4" w:space="0"/>
              <w:lef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注册地址</w:t>
            </w:r>
          </w:p>
        </w:tc>
        <w:tc>
          <w:tcPr>
            <w:tcW w:w="7728" w:type="dxa"/>
            <w:gridSpan w:val="9"/>
            <w:tcBorders>
              <w:top w:val="single" w:color="auto" w:sz="4" w:space="0"/>
            </w:tcBorders>
            <w:vAlign w:val="center"/>
          </w:tcPr>
          <w:p>
            <w:pPr>
              <w:jc w:val="left"/>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实际经营地址</w:t>
            </w:r>
          </w:p>
        </w:tc>
        <w:tc>
          <w:tcPr>
            <w:tcW w:w="7728" w:type="dxa"/>
            <w:gridSpan w:val="9"/>
            <w:tcBorders>
              <w:top w:val="single" w:color="auto" w:sz="4" w:space="0"/>
            </w:tcBorders>
            <w:vAlign w:val="center"/>
          </w:tcPr>
          <w:p>
            <w:pPr>
              <w:jc w:val="left"/>
              <w:rPr>
                <w:rFonts w:hint="default" w:ascii="仿宋_GB2312" w:hAnsi="仿宋_GB2312" w:eastAsia="仿宋_GB2312" w:cs="仿宋_GB2312"/>
                <w:color w:val="000000"/>
                <w:kern w:val="0"/>
                <w:sz w:val="24"/>
                <w:szCs w:val="24"/>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法人代表</w:t>
            </w:r>
          </w:p>
        </w:tc>
        <w:tc>
          <w:tcPr>
            <w:tcW w:w="1450" w:type="dxa"/>
            <w:tcBorders>
              <w:top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57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移动电话</w:t>
            </w:r>
          </w:p>
        </w:tc>
        <w:tc>
          <w:tcPr>
            <w:tcW w:w="122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45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电子邮箱</w:t>
            </w:r>
          </w:p>
        </w:tc>
        <w:tc>
          <w:tcPr>
            <w:tcW w:w="2028" w:type="dxa"/>
            <w:gridSpan w:val="2"/>
            <w:tcBorders>
              <w:top w:val="single" w:color="auto" w:sz="4" w:space="0"/>
              <w:lef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公司联系人</w:t>
            </w:r>
          </w:p>
        </w:tc>
        <w:tc>
          <w:tcPr>
            <w:tcW w:w="1450" w:type="dxa"/>
            <w:tcBorders>
              <w:top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57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移动电话</w:t>
            </w:r>
          </w:p>
        </w:tc>
        <w:tc>
          <w:tcPr>
            <w:tcW w:w="1225"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c>
          <w:tcPr>
            <w:tcW w:w="145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电子邮箱</w:t>
            </w:r>
          </w:p>
        </w:tc>
        <w:tc>
          <w:tcPr>
            <w:tcW w:w="2028" w:type="dxa"/>
            <w:gridSpan w:val="2"/>
            <w:tcBorders>
              <w:top w:val="single" w:color="auto" w:sz="4" w:space="0"/>
              <w:left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lang w:val="en-US" w:eastAsia="zh-CN"/>
              </w:rPr>
              <w:t>具备的</w:t>
            </w:r>
            <w:r>
              <w:rPr>
                <w:rFonts w:hint="eastAsia" w:ascii="仿宋_GB2312" w:hAnsi="仿宋_GB2312" w:eastAsia="仿宋_GB2312" w:cs="仿宋_GB2312"/>
                <w:color w:val="000000"/>
                <w:kern w:val="0"/>
                <w:sz w:val="24"/>
                <w:szCs w:val="24"/>
                <w:highlight w:val="none"/>
              </w:rPr>
              <w:t>评估资质</w:t>
            </w:r>
          </w:p>
        </w:tc>
        <w:tc>
          <w:tcPr>
            <w:tcW w:w="7728" w:type="dxa"/>
            <w:gridSpan w:val="9"/>
            <w:tcBorders>
              <w:top w:val="single" w:color="auto" w:sz="4" w:space="0"/>
            </w:tcBorders>
            <w:vAlign w:val="center"/>
          </w:tcPr>
          <w:p>
            <w:pPr>
              <w:jc w:val="center"/>
              <w:rPr>
                <w:rFonts w:hint="eastAsia" w:ascii="仿宋_GB2312" w:hAnsi="仿宋_GB2312" w:eastAsia="仿宋_GB2312" w:cs="仿宋_GB2312"/>
                <w:color w:val="000000"/>
                <w:kern w:val="0"/>
                <w:sz w:val="24"/>
                <w:szCs w:val="24"/>
                <w:highlight w:val="none"/>
              </w:rPr>
            </w:pPr>
          </w:p>
          <w:p>
            <w:pPr>
              <w:jc w:val="center"/>
              <w:rPr>
                <w:rFonts w:hint="eastAsia" w:ascii="仿宋_GB2312" w:hAnsi="仿宋_GB2312" w:eastAsia="仿宋_GB2312" w:cs="仿宋_GB2312"/>
                <w:color w:val="000000"/>
                <w:kern w:val="0"/>
                <w:sz w:val="24"/>
                <w:szCs w:val="24"/>
                <w:highlight w:val="none"/>
              </w:rPr>
            </w:pPr>
          </w:p>
          <w:p>
            <w:pPr>
              <w:jc w:val="center"/>
              <w:rPr>
                <w:rFonts w:hint="eastAsia" w:ascii="仿宋_GB2312" w:hAnsi="仿宋_GB2312" w:eastAsia="仿宋_GB2312" w:cs="仿宋_GB2312"/>
                <w:color w:val="000000"/>
                <w:kern w:val="0"/>
                <w:sz w:val="24"/>
                <w:szCs w:val="24"/>
                <w:highlight w:val="none"/>
              </w:rPr>
            </w:pPr>
          </w:p>
          <w:p>
            <w:pPr>
              <w:jc w:val="center"/>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rPr>
              <w:t>入围四大行的情况</w:t>
            </w:r>
          </w:p>
        </w:tc>
        <w:tc>
          <w:tcPr>
            <w:tcW w:w="7728" w:type="dxa"/>
            <w:gridSpan w:val="9"/>
            <w:vAlign w:val="center"/>
          </w:tcPr>
          <w:p>
            <w:pPr>
              <w:jc w:val="left"/>
              <w:rPr>
                <w:rFonts w:hint="eastAsia" w:ascii="楷体_GB2312" w:hAnsi="楷体_GB2312" w:eastAsia="楷体_GB2312" w:cs="楷体_GB2312"/>
                <w:color w:val="000000"/>
                <w:kern w:val="0"/>
                <w:sz w:val="21"/>
                <w:szCs w:val="21"/>
                <w:highlight w:val="none"/>
                <w:lang w:val="en-US" w:eastAsia="zh-CN"/>
              </w:rPr>
            </w:pPr>
          </w:p>
          <w:p>
            <w:pPr>
              <w:jc w:val="left"/>
              <w:rPr>
                <w:rFonts w:hint="default"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注：写明入围的四大国有商业银行家数、具体银行名称及业务量。</w:t>
            </w:r>
          </w:p>
          <w:p>
            <w:pPr>
              <w:jc w:val="left"/>
              <w:rPr>
                <w:rFonts w:hint="eastAsia" w:ascii="仿宋_GB2312" w:hAnsi="仿宋_GB2312" w:eastAsia="仿宋_GB2312" w:cs="仿宋_GB2312"/>
                <w:color w:val="000000"/>
                <w:kern w:val="0"/>
                <w:sz w:val="24"/>
                <w:szCs w:val="24"/>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rPr>
              <w:t>执业注册评估师总人数</w:t>
            </w:r>
          </w:p>
        </w:tc>
        <w:tc>
          <w:tcPr>
            <w:tcW w:w="7728" w:type="dxa"/>
            <w:gridSpan w:val="9"/>
            <w:vAlign w:val="center"/>
          </w:tcPr>
          <w:p>
            <w:pPr>
              <w:jc w:val="left"/>
              <w:rPr>
                <w:rFonts w:hint="eastAsia" w:ascii="楷体_GB2312" w:hAnsi="楷体_GB2312" w:eastAsia="楷体_GB2312" w:cs="楷体_GB2312"/>
                <w:color w:val="000000"/>
                <w:kern w:val="0"/>
                <w:sz w:val="21"/>
                <w:szCs w:val="21"/>
                <w:highlight w:val="none"/>
                <w:lang w:val="en-US" w:eastAsia="zh-CN"/>
              </w:rPr>
            </w:pPr>
          </w:p>
          <w:p>
            <w:pPr>
              <w:jc w:val="left"/>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注：①一人多证的，在本栏评估师总人数中仅算一名，在下一栏人次统计中可按持有的资格证书项目分别计算。例如：A估价师同时具有房地产估价、资产估价资格证书，在计算注册评估师总人数时仅算1人，但统计“注册房地产估价师人次”、“资产估价师人次”时可分别算1人次。</w:t>
            </w:r>
          </w:p>
          <w:p>
            <w:pPr>
              <w:jc w:val="left"/>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②本栏的执业注册评估师在参评的评估公司至少须有近半年医社保缴交记录；</w:t>
            </w:r>
          </w:p>
          <w:p>
            <w:pPr>
              <w:jc w:val="left"/>
              <w:rPr>
                <w:rFonts w:hint="eastAsia" w:ascii="楷体_GB2312" w:hAnsi="楷体_GB2312" w:eastAsia="楷体_GB2312" w:cs="楷体_GB2312"/>
                <w:color w:val="000000"/>
                <w:kern w:val="0"/>
                <w:sz w:val="21"/>
                <w:szCs w:val="21"/>
                <w:highlight w:val="none"/>
                <w:lang w:val="en-US" w:eastAsia="zh-CN"/>
              </w:rPr>
            </w:pPr>
            <w:r>
              <w:rPr>
                <w:rFonts w:hint="eastAsia" w:ascii="楷体_GB2312" w:hAnsi="楷体_GB2312" w:eastAsia="楷体_GB2312" w:cs="楷体_GB2312"/>
                <w:color w:val="000000"/>
                <w:kern w:val="0"/>
                <w:sz w:val="21"/>
                <w:szCs w:val="21"/>
                <w:highlight w:val="none"/>
                <w:lang w:val="en-US" w:eastAsia="zh-CN"/>
              </w:rPr>
              <w:t>③本栏的执业注册评估师不得在其他评估公司任职；</w:t>
            </w:r>
          </w:p>
          <w:p>
            <w:pPr>
              <w:jc w:val="left"/>
              <w:rPr>
                <w:rFonts w:hint="eastAsia" w:ascii="楷体_GB2312" w:hAnsi="楷体_GB2312" w:eastAsia="楷体_GB2312" w:cs="楷体_GB2312"/>
                <w:color w:val="000000"/>
                <w:sz w:val="21"/>
                <w:szCs w:val="21"/>
                <w:highlight w:val="none"/>
                <w:u w:val="none" w:color="000000"/>
                <w:lang w:val="en-US"/>
              </w:rPr>
            </w:pPr>
            <w:r>
              <w:rPr>
                <w:rFonts w:hint="eastAsia" w:ascii="楷体_GB2312" w:hAnsi="楷体_GB2312" w:eastAsia="楷体_GB2312" w:cs="楷体_GB2312"/>
                <w:color w:val="000000"/>
                <w:kern w:val="0"/>
                <w:sz w:val="21"/>
                <w:szCs w:val="21"/>
                <w:highlight w:val="none"/>
                <w:lang w:val="en-US" w:eastAsia="zh-CN"/>
              </w:rPr>
              <w:t>④报名机构须确认本栏的执业注册评估师最近三年内未受过停止从业等行业处罚</w:t>
            </w:r>
            <w:r>
              <w:rPr>
                <w:rFonts w:hint="eastAsia" w:ascii="楷体_GB2312" w:hAnsi="楷体_GB2312" w:eastAsia="楷体_GB2312" w:cs="楷体_GB2312"/>
                <w:color w:val="000000"/>
                <w:sz w:val="21"/>
                <w:szCs w:val="21"/>
                <w:highlight w:val="none"/>
                <w:u w:val="none" w:color="000000"/>
                <w:lang w:val="en-US"/>
              </w:rPr>
              <w:t>。</w:t>
            </w:r>
          </w:p>
          <w:p>
            <w:pPr>
              <w:jc w:val="left"/>
              <w:rPr>
                <w:rFonts w:hint="eastAsia" w:ascii="仿宋_GB2312" w:hAnsi="仿宋_GB2312" w:eastAsia="仿宋_GB2312" w:cs="仿宋_GB2312"/>
                <w:color w:val="000000"/>
                <w:kern w:val="0"/>
                <w:sz w:val="24"/>
                <w:szCs w:val="24"/>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rPr>
              <w:t>注册房地产估价师人次</w:t>
            </w:r>
          </w:p>
        </w:tc>
        <w:tc>
          <w:tcPr>
            <w:tcW w:w="1545" w:type="dxa"/>
            <w:gridSpan w:val="2"/>
            <w:vAlign w:val="center"/>
          </w:tcPr>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p>
        </w:tc>
        <w:tc>
          <w:tcPr>
            <w:tcW w:w="1545" w:type="dxa"/>
            <w:gridSpan w:val="2"/>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土地估价师人次</w:t>
            </w:r>
          </w:p>
        </w:tc>
        <w:tc>
          <w:tcPr>
            <w:tcW w:w="1545" w:type="dxa"/>
            <w:gridSpan w:val="2"/>
            <w:vAlign w:val="center"/>
          </w:tcPr>
          <w:p>
            <w:pPr>
              <w:jc w:val="center"/>
              <w:rPr>
                <w:rFonts w:hint="eastAsia" w:ascii="仿宋_GB2312" w:hAnsi="仿宋_GB2312" w:eastAsia="仿宋_GB2312" w:cs="仿宋_GB2312"/>
                <w:color w:val="000000"/>
                <w:kern w:val="0"/>
                <w:sz w:val="24"/>
                <w:szCs w:val="24"/>
                <w:highlight w:val="none"/>
                <w:lang w:val="en-US" w:eastAsia="zh-CN"/>
              </w:rPr>
            </w:pPr>
          </w:p>
        </w:tc>
        <w:tc>
          <w:tcPr>
            <w:tcW w:w="1545" w:type="dxa"/>
            <w:gridSpan w:val="2"/>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资产估价师人次</w:t>
            </w:r>
          </w:p>
        </w:tc>
        <w:tc>
          <w:tcPr>
            <w:tcW w:w="1548" w:type="dxa"/>
            <w:vAlign w:val="center"/>
          </w:tcPr>
          <w:p>
            <w:pPr>
              <w:jc w:val="center"/>
              <w:rPr>
                <w:rFonts w:hint="eastAsia" w:ascii="仿宋_GB2312" w:hAnsi="仿宋_GB2312" w:eastAsia="仿宋_GB2312" w:cs="仿宋_GB2312"/>
                <w:color w:val="000000"/>
                <w:kern w:val="0"/>
                <w:sz w:val="24"/>
                <w:szCs w:val="24"/>
                <w:highlight w:val="none"/>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近三年是否受到主管部门或行业协会等处罚、通报批评等</w:t>
            </w:r>
          </w:p>
        </w:tc>
        <w:tc>
          <w:tcPr>
            <w:tcW w:w="7728" w:type="dxa"/>
            <w:gridSpan w:val="9"/>
            <w:vAlign w:val="center"/>
          </w:tcPr>
          <w:p>
            <w:pPr>
              <w:jc w:val="left"/>
              <w:rPr>
                <w:rFonts w:hint="eastAsia" w:ascii="仿宋_GB2312" w:hAnsi="仿宋_GB2312" w:eastAsia="仿宋_GB2312" w:cs="仿宋_GB2312"/>
                <w:color w:val="000000"/>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640" w:type="dxa"/>
            <w:vAlign w:val="center"/>
          </w:tcPr>
          <w:p>
            <w:pPr>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是否存在未结案的诉讼</w:t>
            </w:r>
          </w:p>
        </w:tc>
        <w:tc>
          <w:tcPr>
            <w:tcW w:w="7728" w:type="dxa"/>
            <w:gridSpan w:val="9"/>
            <w:vAlign w:val="center"/>
          </w:tcPr>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p>
          <w:p>
            <w:pPr>
              <w:jc w:val="left"/>
              <w:rPr>
                <w:rFonts w:hint="eastAsia" w:ascii="仿宋_GB2312" w:hAnsi="仿宋_GB2312" w:eastAsia="仿宋_GB2312" w:cs="仿宋_GB2312"/>
                <w:color w:val="000000"/>
                <w:kern w:val="0"/>
                <w:sz w:val="24"/>
                <w:szCs w:val="24"/>
                <w:highlight w:val="none"/>
              </w:rPr>
            </w:pPr>
          </w:p>
        </w:tc>
      </w:tr>
    </w:tbl>
    <w:p>
      <w:pPr>
        <w:widowControl/>
        <w:jc w:val="left"/>
        <w:rPr>
          <w:rFonts w:hint="eastAsia" w:ascii="仿宋_GB2312" w:hAnsi="仿宋_GB2312" w:eastAsia="仿宋_GB2312" w:cs="仿宋_GB2312"/>
          <w:sz w:val="24"/>
          <w:szCs w:val="24"/>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sz w:val="36"/>
          <w:szCs w:val="36"/>
          <w:highlight w:val="none"/>
        </w:rPr>
      </w:pPr>
      <w:r>
        <w:rPr>
          <w:rFonts w:hint="eastAsia" w:ascii="仿宋_GB2312" w:hAnsi="仿宋_GB2312" w:eastAsia="仿宋_GB2312" w:cs="仿宋_GB2312"/>
          <w:b/>
          <w:bCs/>
          <w:sz w:val="36"/>
          <w:szCs w:val="36"/>
          <w:highlight w:val="none"/>
          <w:u w:val="single"/>
        </w:rPr>
        <w:t>本页仅为提示页，不需要打印放入报名材料</w:t>
      </w: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bCs/>
          <w:sz w:val="24"/>
          <w:szCs w:val="24"/>
          <w:highlight w:val="none"/>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一、报名</w:t>
      </w:r>
      <w:r>
        <w:rPr>
          <w:rFonts w:hint="eastAsia" w:ascii="仿宋_GB2312" w:hAnsi="仿宋_GB2312" w:eastAsia="仿宋_GB2312" w:cs="仿宋_GB2312"/>
          <w:b/>
          <w:bCs/>
          <w:sz w:val="24"/>
          <w:szCs w:val="24"/>
          <w:highlight w:val="none"/>
          <w:lang w:val="en-US" w:eastAsia="zh-CN"/>
        </w:rPr>
        <w:t>须提交的材料</w:t>
      </w:r>
      <w:r>
        <w:rPr>
          <w:rFonts w:hint="eastAsia" w:ascii="仿宋_GB2312" w:hAnsi="仿宋_GB2312" w:eastAsia="仿宋_GB2312" w:cs="仿宋_GB2312"/>
          <w:b/>
          <w:bCs/>
          <w:sz w:val="24"/>
          <w:szCs w:val="24"/>
          <w:highlight w:val="none"/>
        </w:rPr>
        <w:t>：</w:t>
      </w:r>
    </w:p>
    <w:p>
      <w:pPr>
        <w:pStyle w:val="10"/>
        <w:keepNext w:val="0"/>
        <w:keepLines w:val="0"/>
        <w:pageBreakBefore w:val="0"/>
        <w:numPr>
          <w:ilvl w:val="0"/>
          <w:numId w:val="0"/>
        </w:numPr>
        <w:kinsoku/>
        <w:wordWrap/>
        <w:overflowPunct/>
        <w:topLinePunct w:val="0"/>
        <w:autoSpaceDE/>
        <w:autoSpaceDN/>
        <w:bidi w:val="0"/>
        <w:spacing w:line="360" w:lineRule="auto"/>
        <w:ind w:leftChars="0"/>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val="en-US" w:eastAsia="zh-CN"/>
        </w:rPr>
        <w:t>1、</w:t>
      </w:r>
      <w:r>
        <w:rPr>
          <w:rFonts w:hint="eastAsia" w:ascii="仿宋_GB2312" w:hAnsi="仿宋_GB2312" w:eastAsia="仿宋_GB2312" w:cs="仿宋_GB2312"/>
          <w:color w:val="000000"/>
          <w:kern w:val="0"/>
          <w:sz w:val="24"/>
          <w:szCs w:val="24"/>
          <w:highlight w:val="none"/>
        </w:rPr>
        <w:t>反商业贿赂承诺函（格式详见后文）</w:t>
      </w:r>
      <w:r>
        <w:rPr>
          <w:rFonts w:hint="eastAsia" w:ascii="仿宋_GB2312" w:hAnsi="仿宋_GB2312" w:eastAsia="仿宋_GB2312" w:cs="仿宋_GB2312"/>
          <w:color w:val="000000"/>
          <w:kern w:val="0"/>
          <w:sz w:val="24"/>
          <w:szCs w:val="24"/>
          <w:highlight w:val="none"/>
          <w:lang w:eastAsia="zh-CN"/>
        </w:rPr>
        <w:t>。</w:t>
      </w:r>
    </w:p>
    <w:p>
      <w:pPr>
        <w:pStyle w:val="10"/>
        <w:keepNext w:val="0"/>
        <w:keepLines w:val="0"/>
        <w:pageBreakBefore w:val="0"/>
        <w:numPr>
          <w:ilvl w:val="0"/>
          <w:numId w:val="0"/>
        </w:numPr>
        <w:kinsoku/>
        <w:wordWrap/>
        <w:overflowPunct/>
        <w:topLinePunct w:val="0"/>
        <w:autoSpaceDE/>
        <w:autoSpaceDN/>
        <w:bidi w:val="0"/>
        <w:spacing w:line="360" w:lineRule="auto"/>
        <w:ind w:leftChars="0"/>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val="en-US" w:eastAsia="zh-CN"/>
        </w:rPr>
        <w:t>2、</w:t>
      </w:r>
      <w:r>
        <w:rPr>
          <w:rFonts w:hint="eastAsia" w:ascii="仿宋_GB2312" w:hAnsi="仿宋_GB2312" w:eastAsia="仿宋_GB2312" w:cs="仿宋_GB2312"/>
          <w:color w:val="000000"/>
          <w:kern w:val="0"/>
          <w:sz w:val="24"/>
          <w:szCs w:val="24"/>
          <w:highlight w:val="none"/>
        </w:rPr>
        <w:t>关联方关系声明函（格式详见后文）</w:t>
      </w:r>
      <w:r>
        <w:rPr>
          <w:rFonts w:hint="eastAsia" w:ascii="仿宋_GB2312" w:hAnsi="仿宋_GB2312" w:eastAsia="仿宋_GB2312" w:cs="仿宋_GB2312"/>
          <w:color w:val="000000"/>
          <w:kern w:val="0"/>
          <w:sz w:val="24"/>
          <w:szCs w:val="24"/>
          <w:highlight w:val="none"/>
          <w:lang w:eastAsia="zh-CN"/>
        </w:rPr>
        <w:t>。</w:t>
      </w:r>
    </w:p>
    <w:p>
      <w:pPr>
        <w:pStyle w:val="10"/>
        <w:keepNext w:val="0"/>
        <w:keepLines w:val="0"/>
        <w:pageBreakBefore w:val="0"/>
        <w:numPr>
          <w:ilvl w:val="0"/>
          <w:numId w:val="0"/>
        </w:numPr>
        <w:kinsoku/>
        <w:wordWrap/>
        <w:overflowPunct/>
        <w:topLinePunct w:val="0"/>
        <w:autoSpaceDE/>
        <w:autoSpaceDN/>
        <w:bidi w:val="0"/>
        <w:spacing w:line="360" w:lineRule="auto"/>
        <w:ind w:leftChars="0"/>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val="en-US" w:eastAsia="zh-CN"/>
        </w:rPr>
        <w:t>3、</w:t>
      </w:r>
      <w:r>
        <w:rPr>
          <w:rFonts w:hint="eastAsia" w:ascii="仿宋_GB2312" w:hAnsi="仿宋_GB2312" w:eastAsia="仿宋_GB2312" w:cs="仿宋_GB2312"/>
          <w:color w:val="000000"/>
          <w:kern w:val="0"/>
          <w:sz w:val="24"/>
          <w:szCs w:val="24"/>
          <w:highlight w:val="none"/>
        </w:rPr>
        <w:t>承诺函（格式详见后文）</w:t>
      </w:r>
      <w:r>
        <w:rPr>
          <w:rFonts w:hint="eastAsia" w:ascii="仿宋_GB2312" w:hAnsi="仿宋_GB2312" w:eastAsia="仿宋_GB2312" w:cs="仿宋_GB2312"/>
          <w:color w:val="000000"/>
          <w:kern w:val="0"/>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kern w:val="0"/>
          <w:sz w:val="24"/>
          <w:szCs w:val="24"/>
          <w:highlight w:val="none"/>
          <w:lang w:val="zh-TW" w:eastAsia="zh-CN" w:bidi="ar-SA"/>
        </w:rPr>
      </w:pPr>
      <w:r>
        <w:rPr>
          <w:rFonts w:hint="eastAsia" w:ascii="仿宋_GB2312" w:hAnsi="仿宋_GB2312" w:eastAsia="仿宋_GB2312" w:cs="仿宋_GB2312"/>
          <w:color w:val="000000"/>
          <w:kern w:val="0"/>
          <w:sz w:val="24"/>
          <w:szCs w:val="24"/>
          <w:highlight w:val="none"/>
          <w:lang w:val="en-US" w:eastAsia="zh-CN"/>
        </w:rPr>
        <w:t>4、</w:t>
      </w:r>
      <w:r>
        <w:rPr>
          <w:rFonts w:hint="eastAsia" w:ascii="仿宋_GB2312" w:hAnsi="仿宋_GB2312" w:eastAsia="仿宋_GB2312" w:cs="仿宋_GB2312"/>
          <w:color w:val="000000"/>
          <w:kern w:val="0"/>
          <w:sz w:val="24"/>
          <w:szCs w:val="24"/>
          <w:highlight w:val="none"/>
        </w:rPr>
        <w:t>公</w:t>
      </w:r>
      <w:r>
        <w:rPr>
          <w:rFonts w:hint="eastAsia" w:ascii="仿宋_GB2312" w:hAnsi="仿宋_GB2312" w:eastAsia="仿宋_GB2312" w:cs="仿宋_GB2312"/>
          <w:color w:val="000000"/>
          <w:kern w:val="0"/>
          <w:sz w:val="24"/>
          <w:szCs w:val="24"/>
          <w:highlight w:val="none"/>
          <w:lang w:val="en-US" w:eastAsia="zh-CN" w:bidi="ar-SA"/>
        </w:rPr>
        <w:t>司简介（</w:t>
      </w:r>
      <w:r>
        <w:rPr>
          <w:rFonts w:hint="eastAsia" w:ascii="仿宋_GB2312" w:hAnsi="仿宋_GB2312" w:eastAsia="仿宋_GB2312" w:cs="仿宋_GB2312"/>
          <w:color w:val="000000"/>
          <w:kern w:val="0"/>
          <w:sz w:val="24"/>
          <w:szCs w:val="24"/>
          <w:highlight w:val="none"/>
          <w:lang w:val="zh-TW" w:eastAsia="zh-CN" w:bidi="ar-SA"/>
        </w:rPr>
        <w:t>包括但不限于企业背景、管理人员情况、组织架构及部门职责、经营范围、公司从业人员构成情况、行业排名、近三年工作主要业绩、主要合作金融机构、公司或评估师近三年是否存在不良从业记录等）。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5、营业执照及法定代表人身份证。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6、实际经营场所的租赁合同或自有资产权属凭证。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7、实收资本验资报告或投资款入账凭证等。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kern w:val="0"/>
          <w:sz w:val="24"/>
          <w:szCs w:val="24"/>
          <w:highlight w:val="none"/>
          <w:lang w:val="zh-TW" w:eastAsia="zh-CN" w:bidi="ar-SA"/>
        </w:rPr>
      </w:pPr>
      <w:r>
        <w:rPr>
          <w:rFonts w:hint="eastAsia" w:ascii="仿宋_GB2312" w:hAnsi="仿宋_GB2312" w:eastAsia="仿宋_GB2312" w:cs="仿宋_GB2312"/>
          <w:color w:val="000000"/>
          <w:kern w:val="0"/>
          <w:sz w:val="24"/>
          <w:szCs w:val="24"/>
          <w:highlight w:val="none"/>
          <w:lang w:val="en-US" w:eastAsia="zh-CN" w:bidi="ar-SA"/>
        </w:rPr>
        <w:t>8、公司具备的评估资质证书。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9、公司执业注册评估师资格证书及该部分估价师近半年医社保缴交记录。</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10、与四大国有银行（工农中建）、兴业银行的合作证明材料（如与银行签订的书面协议、公开渠道可查询的银行入围名单、银行付款发票等）。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bidi="ar-SA"/>
        </w:rPr>
        <w:t>11、公司近三年无不良从业记录证明。</w:t>
      </w:r>
    </w:p>
    <w:p>
      <w:pPr>
        <w:pStyle w:val="10"/>
        <w:keepNext w:val="0"/>
        <w:keepLines w:val="0"/>
        <w:pageBreakBefore w:val="0"/>
        <w:numPr>
          <w:ilvl w:val="0"/>
          <w:numId w:val="0"/>
        </w:numPr>
        <w:kinsoku/>
        <w:wordWrap/>
        <w:overflowPunct/>
        <w:topLinePunct w:val="0"/>
        <w:autoSpaceDE/>
        <w:autoSpaceDN/>
        <w:bidi w:val="0"/>
        <w:spacing w:line="360" w:lineRule="auto"/>
        <w:ind w:leftChars="0"/>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lang w:val="en-US" w:eastAsia="zh-CN"/>
        </w:rPr>
        <w:t>12、</w:t>
      </w:r>
      <w:r>
        <w:rPr>
          <w:rFonts w:hint="eastAsia" w:ascii="仿宋_GB2312" w:hAnsi="仿宋_GB2312" w:eastAsia="仿宋_GB2312" w:cs="仿宋_GB2312"/>
          <w:color w:val="000000"/>
          <w:kern w:val="0"/>
          <w:sz w:val="24"/>
          <w:szCs w:val="24"/>
          <w:highlight w:val="none"/>
        </w:rPr>
        <w:t>其他报名公司认为需要递交的材料。</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二、注意事项</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rPr>
        <w:t>1、以上文件若有特殊情况，请以文字说明，并加盖公章。</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2、报名文件要求：（1）报名文件均需要公司加盖单位公章；（2）需胶装</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封面需注明公司</w:t>
      </w:r>
      <w:r>
        <w:rPr>
          <w:rFonts w:hint="eastAsia" w:ascii="仿宋_GB2312" w:hAnsi="仿宋_GB2312" w:eastAsia="仿宋_GB2312" w:cs="仿宋_GB2312"/>
          <w:sz w:val="24"/>
          <w:szCs w:val="24"/>
          <w:highlight w:val="none"/>
          <w:lang w:val="en-US" w:eastAsia="zh-CN"/>
        </w:rPr>
        <w:t>全</w:t>
      </w:r>
      <w:r>
        <w:rPr>
          <w:rFonts w:hint="eastAsia" w:ascii="仿宋_GB2312" w:hAnsi="仿宋_GB2312" w:eastAsia="仿宋_GB2312" w:cs="仿宋_GB2312"/>
          <w:sz w:val="24"/>
          <w:szCs w:val="24"/>
          <w:highlight w:val="none"/>
        </w:rPr>
        <w:t>称及报名时间；（</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）需制作目录（标明页码）；（</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）统一使用档案袋存放，档案袋上应注明</w:t>
      </w:r>
      <w:r>
        <w:rPr>
          <w:rFonts w:hint="eastAsia" w:ascii="仿宋_GB2312" w:hAnsi="仿宋_GB2312" w:eastAsia="仿宋_GB2312" w:cs="仿宋_GB2312"/>
          <w:sz w:val="24"/>
          <w:szCs w:val="24"/>
          <w:highlight w:val="none"/>
          <w:lang w:val="en-US" w:eastAsia="zh-CN"/>
        </w:rPr>
        <w:t>公司</w:t>
      </w:r>
      <w:r>
        <w:rPr>
          <w:rFonts w:hint="eastAsia" w:ascii="仿宋_GB2312" w:hAnsi="仿宋_GB2312" w:eastAsia="仿宋_GB2312" w:cs="仿宋_GB2312"/>
          <w:sz w:val="24"/>
          <w:szCs w:val="24"/>
          <w:highlight w:val="none"/>
        </w:rPr>
        <w:t>全称。</w:t>
      </w:r>
    </w:p>
    <w:p>
      <w:pPr>
        <w:widowControl/>
        <w:jc w:val="left"/>
        <w:rPr>
          <w:rFonts w:hint="eastAsia" w:ascii="仿宋_GB2312" w:hAnsi="仿宋_GB2312" w:eastAsia="仿宋_GB2312" w:cs="仿宋_GB2312"/>
          <w:sz w:val="24"/>
          <w:szCs w:val="24"/>
          <w:highlight w:val="none"/>
        </w:rPr>
      </w:pPr>
    </w:p>
    <w:p>
      <w:pPr>
        <w:widowControl/>
        <w:jc w:val="left"/>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eastAsia" w:ascii="仿宋_GB2312" w:hAnsi="仿宋_GB2312" w:eastAsia="仿宋_GB2312" w:cs="仿宋_GB2312"/>
          <w:b/>
          <w:bCs/>
          <w:sz w:val="36"/>
          <w:szCs w:val="36"/>
          <w:highlight w:val="none"/>
        </w:rPr>
      </w:pPr>
      <w:r>
        <w:rPr>
          <w:rFonts w:hint="eastAsia" w:ascii="仿宋_GB2312" w:hAnsi="仿宋_GB2312" w:eastAsia="仿宋_GB2312" w:cs="仿宋_GB2312"/>
          <w:b/>
          <w:bCs/>
          <w:sz w:val="36"/>
          <w:szCs w:val="36"/>
          <w:highlight w:val="none"/>
        </w:rPr>
        <w:t>反商业贿赂承诺函</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致：福建海峡银行股份有限公司</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为严格遵守国家相关法律法规，构建诚信和谐的市场经营环境，确保廉洁、公开、公平开展集中采购商务供应工作，本公司谨向贵行承诺如下：</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一、本公司愿意严格遵守中华人民共和国反商业贿赂的相关法律规定，清楚任何形式的贿赂和贪渎行为都将触犯法律，并将受到法律的严惩。</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二、本公司及本公司员工（包括但不限于与我单位建立劳动关系、劳务派遣关系的雇员，我单位的授权代表等</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下同）将公正的对待贵行及贵行员工（包括但不限于与贵行建立劳动关系、劳务派遣关系的雇员，贵行的授权代表等</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下同），保持高度的诚信和职业道德水准。本公司承诺不向贵行或贵行员工索要、收受、提供、给予合同约定外的任何利益，包括但不限于明扣、暗扣、现金、购物卡、实物、有价证券、旅游或其他物质或非物质利益等。</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四、本公司在相关招投标活动、供货合同履行、售后服务等方面，无严重不良纪录，无涉及商业</w:t>
      </w:r>
      <w:bookmarkStart w:id="0" w:name="baidusnap1"/>
      <w:bookmarkEnd w:id="0"/>
      <w:r>
        <w:rPr>
          <w:rFonts w:hint="eastAsia" w:ascii="仿宋_GB2312" w:hAnsi="仿宋_GB2312" w:eastAsia="仿宋_GB2312" w:cs="仿宋_GB2312"/>
          <w:sz w:val="24"/>
          <w:szCs w:val="24"/>
          <w:highlight w:val="none"/>
        </w:rPr>
        <w:t>贿赂等相关违规、违纪、违法行为。</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五、如发现贵行采购人员有“吃、拿、卡、要、报”等行为，本公司将及时拨打贵行举报电话：（0591）87581949。</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特此承诺</w:t>
      </w:r>
    </w:p>
    <w:p>
      <w:pPr>
        <w:keepNext w:val="0"/>
        <w:keepLines w:val="0"/>
        <w:pageBreakBefore w:val="0"/>
        <w:widowControl w:val="0"/>
        <w:kinsoku/>
        <w:wordWrap/>
        <w:overflowPunct/>
        <w:topLinePunct w:val="0"/>
        <w:autoSpaceDE/>
        <w:autoSpaceDN/>
        <w:bidi w:val="0"/>
        <w:adjustRightInd/>
        <w:snapToGrid/>
        <w:spacing w:line="348" w:lineRule="auto"/>
        <w:jc w:val="righ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承诺公司（公章）：</w:t>
      </w:r>
    </w:p>
    <w:p>
      <w:pPr>
        <w:keepNext w:val="0"/>
        <w:keepLines w:val="0"/>
        <w:pageBreakBefore w:val="0"/>
        <w:widowControl w:val="0"/>
        <w:kinsoku/>
        <w:wordWrap/>
        <w:overflowPunct/>
        <w:topLinePunct w:val="0"/>
        <w:autoSpaceDE/>
        <w:autoSpaceDN/>
        <w:bidi w:val="0"/>
        <w:adjustRightInd/>
        <w:snapToGrid/>
        <w:spacing w:line="348" w:lineRule="auto"/>
        <w:jc w:val="righ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法定代表人（签章）：</w:t>
      </w:r>
    </w:p>
    <w:p>
      <w:pPr>
        <w:keepNext w:val="0"/>
        <w:keepLines w:val="0"/>
        <w:pageBreakBefore w:val="0"/>
        <w:widowControl w:val="0"/>
        <w:kinsoku/>
        <w:wordWrap/>
        <w:overflowPunct/>
        <w:topLinePunct w:val="0"/>
        <w:autoSpaceDE/>
        <w:autoSpaceDN/>
        <w:bidi w:val="0"/>
        <w:adjustRightInd/>
        <w:snapToGrid/>
        <w:spacing w:line="348" w:lineRule="auto"/>
        <w:jc w:val="righ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   月    日</w:t>
      </w:r>
    </w:p>
    <w:p>
      <w:pPr>
        <w:spacing w:line="360" w:lineRule="auto"/>
        <w:ind w:firstLine="480" w:firstLineChars="200"/>
        <w:rPr>
          <w:rFonts w:hint="eastAsia" w:ascii="仿宋_GB2312" w:hAnsi="仿宋_GB2312" w:eastAsia="仿宋_GB2312" w:cs="仿宋_GB2312"/>
          <w:sz w:val="24"/>
          <w:szCs w:val="24"/>
          <w:highlight w:val="none"/>
        </w:rPr>
      </w:pPr>
    </w:p>
    <w:p>
      <w:pPr>
        <w:jc w:val="center"/>
        <w:rPr>
          <w:rFonts w:hint="eastAsia" w:ascii="仿宋_GB2312" w:hAnsi="仿宋_GB2312" w:eastAsia="仿宋_GB2312" w:cs="仿宋_GB2312"/>
          <w:b/>
          <w:bCs/>
          <w:sz w:val="36"/>
          <w:szCs w:val="36"/>
          <w:highlight w:val="none"/>
        </w:rPr>
      </w:pPr>
      <w:r>
        <w:rPr>
          <w:rFonts w:hint="eastAsia" w:ascii="仿宋_GB2312" w:hAnsi="仿宋_GB2312" w:eastAsia="仿宋_GB2312" w:cs="仿宋_GB2312"/>
          <w:b/>
          <w:bCs/>
          <w:sz w:val="36"/>
          <w:szCs w:val="36"/>
          <w:highlight w:val="none"/>
        </w:rPr>
        <w:t>关联方关系声明函</w:t>
      </w:r>
    </w:p>
    <w:p>
      <w:pPr>
        <w:spacing w:line="360" w:lineRule="auto"/>
        <w:jc w:val="center"/>
        <w:rPr>
          <w:rFonts w:hint="eastAsia" w:ascii="仿宋_GB2312" w:hAnsi="仿宋_GB2312" w:eastAsia="仿宋_GB2312" w:cs="仿宋_GB2312"/>
          <w:sz w:val="24"/>
          <w:szCs w:val="24"/>
          <w:highlight w:val="none"/>
        </w:rPr>
      </w:pPr>
    </w:p>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福建海峡银行股份有限公司：</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根据《商业银行与内部人和股东关联交易管理办法》等规定，现就本人/本单位与贵行关联关系的相关情况声明如下：</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一、本人/本单位</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□不属于贵行股东或关联方。</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□属于贵行股东或关联方，具体情况为：</w:t>
      </w:r>
    </w:p>
    <w:p>
      <w:pPr>
        <w:spacing w:line="360" w:lineRule="auto"/>
        <w:ind w:firstLine="960" w:firstLineChars="4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□贵行股东，但是直接、间接、或共同持有或控制贵行股份或表决权低于贵行总股份的5%，现持有贵行股（自然人包含本人近亲属持有或控制的股份或表决权）；</w:t>
      </w:r>
    </w:p>
    <w:p>
      <w:pPr>
        <w:spacing w:line="360" w:lineRule="auto"/>
        <w:ind w:firstLine="960" w:firstLineChars="4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□贵行关联方，关联关系为。</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1、贵行内部人；</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2、贵行的主要自然人股东；</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3、贵行的主要非自然人股东；</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4、贵行的内部人和主要自然人股东的近亲属；</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5、贵行的关联法人或其他组织的控股自然人股东、董事、关键管理人员；</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6、与贵行同受某一企业直接、间接控制的法人或其他组织；</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7、贵行的内部人与主要自然人股东及其近亲属直接、间接、共同控制或可施加重大影响的法人或其他组织；</w:t>
      </w:r>
    </w:p>
    <w:p>
      <w:pPr>
        <w:spacing w:line="360" w:lineRule="auto"/>
        <w:ind w:firstLine="1132" w:firstLineChars="47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8、其他。</w:t>
      </w:r>
    </w:p>
    <w:p>
      <w:pPr>
        <w:spacing w:line="360" w:lineRule="auto"/>
        <w:ind w:firstLine="482" w:firstLineChars="20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本人/本单位基本情况如下：</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p>
            <w:pPr>
              <w:spacing w:line="360" w:lineRule="auto"/>
              <w:jc w:val="center"/>
              <w:rPr>
                <w:rFonts w:hint="eastAsia" w:ascii="仿宋_GB2312" w:hAnsi="仿宋_GB2312" w:eastAsia="仿宋_GB2312" w:cs="仿宋_GB2312"/>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经济性质</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注册资本和</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持股数和</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bl>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工作单位</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szCs w:val="24"/>
                <w:highlight w:val="none"/>
              </w:rPr>
            </w:pPr>
          </w:p>
          <w:p>
            <w:pPr>
              <w:spacing w:line="360" w:lineRule="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身份证件</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持股数和</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szCs w:val="24"/>
                <w:highlight w:val="none"/>
              </w:rPr>
            </w:pPr>
          </w:p>
        </w:tc>
      </w:tr>
    </w:tbl>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二、本人/本单位认为需要说明的其他事宜：</w:t>
      </w:r>
    </w:p>
    <w:p>
      <w:pPr>
        <w:spacing w:line="360" w:lineRule="auto"/>
        <w:ind w:firstLine="480" w:firstLineChars="200"/>
        <w:rPr>
          <w:rFonts w:hint="eastAsia" w:ascii="仿宋_GB2312" w:hAnsi="仿宋_GB2312" w:eastAsia="仿宋_GB2312" w:cs="仿宋_GB2312"/>
          <w:sz w:val="24"/>
          <w:szCs w:val="24"/>
          <w:highlight w:val="none"/>
        </w:rPr>
      </w:pP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三、本人/本单位保证上述声明的内容真实、准确、无隐瞒。</w:t>
      </w:r>
    </w:p>
    <w:p>
      <w:pPr>
        <w:spacing w:line="360" w:lineRule="auto"/>
        <w:ind w:firstLine="480" w:firstLineChars="200"/>
        <w:rPr>
          <w:rFonts w:hint="eastAsia" w:ascii="仿宋_GB2312" w:hAnsi="仿宋_GB2312" w:eastAsia="仿宋_GB2312" w:cs="仿宋_GB2312"/>
          <w:sz w:val="24"/>
          <w:szCs w:val="24"/>
          <w:highlight w:val="none"/>
        </w:rPr>
      </w:pPr>
    </w:p>
    <w:p>
      <w:pPr>
        <w:spacing w:line="360" w:lineRule="auto"/>
        <w:ind w:firstLine="480" w:firstLineChars="200"/>
        <w:rPr>
          <w:rFonts w:hint="eastAsia" w:ascii="仿宋_GB2312" w:hAnsi="仿宋_GB2312" w:eastAsia="仿宋_GB2312" w:cs="仿宋_GB2312"/>
          <w:sz w:val="24"/>
          <w:szCs w:val="24"/>
          <w:highlight w:val="none"/>
        </w:rPr>
      </w:pPr>
    </w:p>
    <w:p>
      <w:pPr>
        <w:jc w:val="righ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声明人（签章）：</w:t>
      </w:r>
    </w:p>
    <w:p>
      <w:pPr>
        <w:jc w:val="right"/>
        <w:rPr>
          <w:rFonts w:hint="eastAsia" w:ascii="仿宋_GB2312" w:hAnsi="仿宋_GB2312" w:eastAsia="仿宋_GB2312" w:cs="仿宋_GB2312"/>
          <w:sz w:val="24"/>
          <w:szCs w:val="24"/>
          <w:highlight w:val="none"/>
        </w:rPr>
      </w:pPr>
    </w:p>
    <w:p>
      <w:pPr>
        <w:jc w:val="righ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法定代表人或授权代表（签章）：</w:t>
      </w:r>
    </w:p>
    <w:p>
      <w:pPr>
        <w:jc w:val="right"/>
        <w:rPr>
          <w:rFonts w:hint="eastAsia" w:ascii="仿宋_GB2312" w:hAnsi="仿宋_GB2312" w:eastAsia="仿宋_GB2312" w:cs="仿宋_GB2312"/>
          <w:sz w:val="24"/>
          <w:szCs w:val="24"/>
          <w:highlight w:val="none"/>
        </w:rPr>
      </w:pPr>
    </w:p>
    <w:p>
      <w:pPr>
        <w:jc w:val="righ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月</w:t>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日</w:t>
      </w:r>
    </w:p>
    <w:p>
      <w:pPr>
        <w:widowControl/>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br w:type="page"/>
      </w:r>
    </w:p>
    <w:p>
      <w:pPr>
        <w:jc w:val="center"/>
        <w:rPr>
          <w:rFonts w:hint="eastAsia" w:ascii="仿宋_GB2312" w:hAnsi="仿宋_GB2312" w:eastAsia="仿宋_GB2312" w:cs="仿宋_GB2312"/>
          <w:b/>
          <w:bCs/>
          <w:sz w:val="36"/>
          <w:szCs w:val="36"/>
          <w:highlight w:val="none"/>
        </w:rPr>
      </w:pPr>
      <w:r>
        <w:rPr>
          <w:rFonts w:hint="eastAsia" w:ascii="仿宋_GB2312" w:hAnsi="仿宋_GB2312" w:eastAsia="仿宋_GB2312" w:cs="仿宋_GB2312"/>
          <w:b/>
          <w:bCs/>
          <w:sz w:val="36"/>
          <w:szCs w:val="36"/>
          <w:highlight w:val="none"/>
        </w:rPr>
        <w:t>承诺函</w:t>
      </w:r>
    </w:p>
    <w:p>
      <w:pPr>
        <w:spacing w:line="360" w:lineRule="auto"/>
        <w:jc w:val="center"/>
        <w:rPr>
          <w:rFonts w:hint="eastAsia" w:ascii="仿宋_GB2312" w:hAnsi="仿宋_GB2312" w:eastAsia="仿宋_GB2312" w:cs="仿宋_GB2312"/>
          <w:sz w:val="24"/>
          <w:szCs w:val="24"/>
          <w:highlight w:val="none"/>
        </w:rPr>
      </w:pPr>
    </w:p>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福建海峡银行股份有限公司：</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本公司报名贵</w:t>
      </w:r>
      <w:r>
        <w:rPr>
          <w:rFonts w:hint="eastAsia" w:ascii="仿宋_GB2312" w:hAnsi="仿宋_GB2312" w:eastAsia="仿宋_GB2312" w:cs="仿宋_GB2312"/>
          <w:sz w:val="24"/>
          <w:szCs w:val="24"/>
          <w:highlight w:val="none"/>
          <w:lang w:val="en-US" w:eastAsia="zh-CN"/>
        </w:rPr>
        <w:t>行福州地区评估公司</w:t>
      </w:r>
      <w:r>
        <w:rPr>
          <w:rFonts w:hint="eastAsia" w:ascii="仿宋_GB2312" w:hAnsi="仿宋_GB2312" w:eastAsia="仿宋_GB2312" w:cs="仿宋_GB2312"/>
          <w:sz w:val="24"/>
          <w:szCs w:val="24"/>
          <w:highlight w:val="none"/>
        </w:rPr>
        <w:t>入围资格预审，本公司承诺：</w:t>
      </w:r>
    </w:p>
    <w:p>
      <w:pPr>
        <w:widowControl/>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（1）本公司最近3年内无行政处罚或被诉的记录；无正在被相关部门调查的情况；无未了结的被诉讼、执行或仲裁案件；未被列为失信被执行人。</w:t>
      </w:r>
    </w:p>
    <w:p>
      <w:pPr>
        <w:widowControl/>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（2）本公司不存在与报名的其他公司的主要负责人（含董事、监事、高管）为同一人或者存在关联关系、管理关系的情况。</w:t>
      </w:r>
    </w:p>
    <w:p>
      <w:pPr>
        <w:widowControl/>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（3）本公司财务和资信状况良好，流动资金充足，若能成交，本公司保证能够及时独立履行合同，不会将本项目以任何方式进行转包或分包。</w:t>
      </w:r>
    </w:p>
    <w:p>
      <w:pPr>
        <w:widowControl/>
        <w:spacing w:line="360" w:lineRule="auto"/>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本公司提供的材料真实有效。</w:t>
      </w:r>
    </w:p>
    <w:p>
      <w:pPr>
        <w:widowControl/>
        <w:spacing w:line="360" w:lineRule="auto"/>
        <w:ind w:firstLine="480" w:firstLineChars="200"/>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（5）本公司依法合规开展资产评估业务。</w:t>
      </w:r>
    </w:p>
    <w:p>
      <w:pPr>
        <w:spacing w:line="360" w:lineRule="auto"/>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若有违本承诺，本公司自愿退出该项目</w:t>
      </w:r>
      <w:r>
        <w:rPr>
          <w:rFonts w:hint="eastAsia" w:ascii="仿宋_GB2312" w:hAnsi="仿宋_GB2312" w:eastAsia="仿宋_GB2312" w:cs="仿宋_GB2312"/>
          <w:sz w:val="24"/>
          <w:szCs w:val="24"/>
          <w:highlight w:val="none"/>
          <w:lang w:val="en-US" w:eastAsia="zh-CN"/>
        </w:rPr>
        <w:t>或贵行有权中止本公司入围</w:t>
      </w:r>
      <w:r>
        <w:rPr>
          <w:rFonts w:hint="eastAsia" w:ascii="仿宋_GB2312" w:hAnsi="仿宋_GB2312" w:eastAsia="仿宋_GB2312" w:cs="仿宋_GB2312"/>
          <w:sz w:val="24"/>
          <w:szCs w:val="24"/>
          <w:highlight w:val="none"/>
        </w:rPr>
        <w:t>，如给贵公司或其他报名人造成损</w:t>
      </w:r>
      <w:bookmarkStart w:id="1" w:name="_GoBack"/>
      <w:bookmarkEnd w:id="1"/>
      <w:r>
        <w:rPr>
          <w:rFonts w:hint="eastAsia" w:ascii="仿宋_GB2312" w:hAnsi="仿宋_GB2312" w:eastAsia="仿宋_GB2312" w:cs="仿宋_GB2312"/>
          <w:sz w:val="24"/>
          <w:szCs w:val="24"/>
          <w:highlight w:val="none"/>
        </w:rPr>
        <w:t>失，由本公司承担赔偿责任。</w:t>
      </w:r>
    </w:p>
    <w:p>
      <w:pPr>
        <w:spacing w:line="360" w:lineRule="auto"/>
        <w:ind w:firstLine="480" w:firstLineChars="200"/>
        <w:rPr>
          <w:rFonts w:hint="eastAsia" w:ascii="仿宋_GB2312" w:hAnsi="仿宋_GB2312" w:eastAsia="仿宋_GB2312" w:cs="仿宋_GB2312"/>
          <w:sz w:val="24"/>
          <w:szCs w:val="24"/>
          <w:highlight w:val="none"/>
        </w:rPr>
      </w:pPr>
    </w:p>
    <w:p>
      <w:pPr>
        <w:ind w:firstLine="3600" w:firstLineChars="15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公司名称(公章)：</w:t>
      </w:r>
    </w:p>
    <w:p>
      <w:pPr>
        <w:spacing w:line="360" w:lineRule="auto"/>
        <w:ind w:firstLine="4800" w:firstLineChars="20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日期：</w:t>
      </w:r>
    </w:p>
    <w:p>
      <w:pPr>
        <w:spacing w:line="360" w:lineRule="auto"/>
        <w:ind w:firstLine="480" w:firstLineChars="200"/>
        <w:rPr>
          <w:rFonts w:hint="eastAsia" w:ascii="仿宋_GB2312" w:hAnsi="仿宋_GB2312" w:eastAsia="仿宋_GB2312" w:cs="仿宋_GB2312"/>
          <w:sz w:val="24"/>
          <w:szCs w:val="24"/>
          <w:highlight w:val="none"/>
        </w:rPr>
      </w:pPr>
    </w:p>
    <w:p>
      <w:pPr>
        <w:spacing w:line="360" w:lineRule="auto"/>
        <w:ind w:firstLine="480" w:firstLineChars="200"/>
        <w:rPr>
          <w:rFonts w:hint="eastAsia" w:ascii="仿宋_GB2312" w:hAnsi="仿宋_GB2312" w:eastAsia="仿宋_GB2312" w:cs="仿宋_GB2312"/>
          <w:sz w:val="24"/>
          <w:szCs w:val="24"/>
          <w:highlight w:val="none"/>
        </w:rPr>
      </w:pPr>
    </w:p>
    <w:p>
      <w:pPr>
        <w:spacing w:line="360" w:lineRule="auto"/>
        <w:ind w:firstLine="480" w:firstLineChars="200"/>
        <w:rPr>
          <w:rFonts w:hint="eastAsia" w:ascii="仿宋_GB2312" w:hAnsi="仿宋_GB2312" w:eastAsia="仿宋_GB2312" w:cs="仿宋_GB2312"/>
          <w:sz w:val="24"/>
          <w:szCs w:val="24"/>
          <w:highlight w:val="none"/>
        </w:rPr>
      </w:pPr>
    </w:p>
    <w:p>
      <w:pPr>
        <w:spacing w:line="360" w:lineRule="auto"/>
        <w:ind w:firstLine="480" w:firstLineChars="200"/>
        <w:rPr>
          <w:rFonts w:hint="eastAsia" w:ascii="仿宋_GB2312" w:hAnsi="仿宋_GB2312" w:eastAsia="仿宋_GB2312" w:cs="仿宋_GB2312"/>
          <w:sz w:val="24"/>
          <w:szCs w:val="24"/>
          <w:highlight w:val="non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50"/>
    <w:rsid w:val="00014042"/>
    <w:rsid w:val="0001774B"/>
    <w:rsid w:val="00024454"/>
    <w:rsid w:val="00027DCD"/>
    <w:rsid w:val="00050E8D"/>
    <w:rsid w:val="0008348B"/>
    <w:rsid w:val="00095A5A"/>
    <w:rsid w:val="000D1366"/>
    <w:rsid w:val="000D4F8C"/>
    <w:rsid w:val="000E202D"/>
    <w:rsid w:val="000E35EB"/>
    <w:rsid w:val="000E5682"/>
    <w:rsid w:val="000F304C"/>
    <w:rsid w:val="000F7BE8"/>
    <w:rsid w:val="00114B04"/>
    <w:rsid w:val="00144E0A"/>
    <w:rsid w:val="001919DE"/>
    <w:rsid w:val="001933F0"/>
    <w:rsid w:val="001A4618"/>
    <w:rsid w:val="001A521B"/>
    <w:rsid w:val="001B1A4B"/>
    <w:rsid w:val="001F4AAE"/>
    <w:rsid w:val="0022340B"/>
    <w:rsid w:val="0023048B"/>
    <w:rsid w:val="00254587"/>
    <w:rsid w:val="002601E2"/>
    <w:rsid w:val="00264EE3"/>
    <w:rsid w:val="002815CE"/>
    <w:rsid w:val="00285BDF"/>
    <w:rsid w:val="002A23C8"/>
    <w:rsid w:val="002D50D0"/>
    <w:rsid w:val="002D6CDA"/>
    <w:rsid w:val="002F42AD"/>
    <w:rsid w:val="00330116"/>
    <w:rsid w:val="00344128"/>
    <w:rsid w:val="003511A4"/>
    <w:rsid w:val="00361FB7"/>
    <w:rsid w:val="00362542"/>
    <w:rsid w:val="00362983"/>
    <w:rsid w:val="00381FAE"/>
    <w:rsid w:val="003966C8"/>
    <w:rsid w:val="003A35EA"/>
    <w:rsid w:val="003C08DC"/>
    <w:rsid w:val="003D41E5"/>
    <w:rsid w:val="003E373C"/>
    <w:rsid w:val="003E72E6"/>
    <w:rsid w:val="00450646"/>
    <w:rsid w:val="00484B03"/>
    <w:rsid w:val="004876D9"/>
    <w:rsid w:val="004A05E6"/>
    <w:rsid w:val="004C59EB"/>
    <w:rsid w:val="004D456F"/>
    <w:rsid w:val="004F46BF"/>
    <w:rsid w:val="004F751C"/>
    <w:rsid w:val="00533638"/>
    <w:rsid w:val="00542398"/>
    <w:rsid w:val="00553439"/>
    <w:rsid w:val="0058727A"/>
    <w:rsid w:val="005A7C4F"/>
    <w:rsid w:val="005D04DB"/>
    <w:rsid w:val="005D1249"/>
    <w:rsid w:val="005D58FD"/>
    <w:rsid w:val="005F0711"/>
    <w:rsid w:val="00604319"/>
    <w:rsid w:val="00604583"/>
    <w:rsid w:val="00610818"/>
    <w:rsid w:val="00627ACF"/>
    <w:rsid w:val="00634653"/>
    <w:rsid w:val="00640B47"/>
    <w:rsid w:val="00641786"/>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C72F1"/>
    <w:rsid w:val="007D3A6D"/>
    <w:rsid w:val="007E3C14"/>
    <w:rsid w:val="007F5954"/>
    <w:rsid w:val="00800148"/>
    <w:rsid w:val="00827E53"/>
    <w:rsid w:val="008515AE"/>
    <w:rsid w:val="0086249F"/>
    <w:rsid w:val="0086628E"/>
    <w:rsid w:val="00884A6D"/>
    <w:rsid w:val="008A5504"/>
    <w:rsid w:val="008D32DA"/>
    <w:rsid w:val="008D67B8"/>
    <w:rsid w:val="008E10F6"/>
    <w:rsid w:val="0091094C"/>
    <w:rsid w:val="009306C3"/>
    <w:rsid w:val="00932034"/>
    <w:rsid w:val="00942CAB"/>
    <w:rsid w:val="00952752"/>
    <w:rsid w:val="00954D2A"/>
    <w:rsid w:val="00962840"/>
    <w:rsid w:val="009677B7"/>
    <w:rsid w:val="009727A4"/>
    <w:rsid w:val="00972ABA"/>
    <w:rsid w:val="00975DE0"/>
    <w:rsid w:val="009A09D0"/>
    <w:rsid w:val="009B1744"/>
    <w:rsid w:val="009B7F84"/>
    <w:rsid w:val="009C0694"/>
    <w:rsid w:val="009D007F"/>
    <w:rsid w:val="009D35B2"/>
    <w:rsid w:val="009E40A1"/>
    <w:rsid w:val="009F3E81"/>
    <w:rsid w:val="00A1093C"/>
    <w:rsid w:val="00A175E5"/>
    <w:rsid w:val="00A3287B"/>
    <w:rsid w:val="00A37A04"/>
    <w:rsid w:val="00A459A7"/>
    <w:rsid w:val="00A500B2"/>
    <w:rsid w:val="00A82F26"/>
    <w:rsid w:val="00AA0551"/>
    <w:rsid w:val="00AA4535"/>
    <w:rsid w:val="00AA4EC1"/>
    <w:rsid w:val="00AB6F29"/>
    <w:rsid w:val="00AB7CC1"/>
    <w:rsid w:val="00AE64CD"/>
    <w:rsid w:val="00AE6CE9"/>
    <w:rsid w:val="00B066EF"/>
    <w:rsid w:val="00B117C6"/>
    <w:rsid w:val="00B4304D"/>
    <w:rsid w:val="00B8489C"/>
    <w:rsid w:val="00B96435"/>
    <w:rsid w:val="00BA07E9"/>
    <w:rsid w:val="00BD57E0"/>
    <w:rsid w:val="00BE524C"/>
    <w:rsid w:val="00BE793D"/>
    <w:rsid w:val="00BF0E24"/>
    <w:rsid w:val="00BF1A19"/>
    <w:rsid w:val="00BF549A"/>
    <w:rsid w:val="00C36FD8"/>
    <w:rsid w:val="00C400BE"/>
    <w:rsid w:val="00C4246C"/>
    <w:rsid w:val="00C43F3D"/>
    <w:rsid w:val="00C5415B"/>
    <w:rsid w:val="00C85619"/>
    <w:rsid w:val="00CA342B"/>
    <w:rsid w:val="00CB21D0"/>
    <w:rsid w:val="00CB3F75"/>
    <w:rsid w:val="00CC23B6"/>
    <w:rsid w:val="00CC2F25"/>
    <w:rsid w:val="00CC382B"/>
    <w:rsid w:val="00CD3A30"/>
    <w:rsid w:val="00CD518A"/>
    <w:rsid w:val="00CD5319"/>
    <w:rsid w:val="00CD545D"/>
    <w:rsid w:val="00D11580"/>
    <w:rsid w:val="00D47A5E"/>
    <w:rsid w:val="00D87ACB"/>
    <w:rsid w:val="00D90C74"/>
    <w:rsid w:val="00D92D59"/>
    <w:rsid w:val="00D937BD"/>
    <w:rsid w:val="00DA0B5C"/>
    <w:rsid w:val="00DA67EC"/>
    <w:rsid w:val="00DA733F"/>
    <w:rsid w:val="00DC433D"/>
    <w:rsid w:val="00DC7452"/>
    <w:rsid w:val="00DD3955"/>
    <w:rsid w:val="00E02FDB"/>
    <w:rsid w:val="00E0553F"/>
    <w:rsid w:val="00E12505"/>
    <w:rsid w:val="00E20245"/>
    <w:rsid w:val="00E20AD7"/>
    <w:rsid w:val="00E341DE"/>
    <w:rsid w:val="00E46DF2"/>
    <w:rsid w:val="00E7205C"/>
    <w:rsid w:val="00E97600"/>
    <w:rsid w:val="00EA017E"/>
    <w:rsid w:val="00EA57DA"/>
    <w:rsid w:val="00EB0DD0"/>
    <w:rsid w:val="00EC61EB"/>
    <w:rsid w:val="00EF1A25"/>
    <w:rsid w:val="00F024A2"/>
    <w:rsid w:val="00F231D1"/>
    <w:rsid w:val="00F6612E"/>
    <w:rsid w:val="00F92A4D"/>
    <w:rsid w:val="00FB072C"/>
    <w:rsid w:val="00FC33F3"/>
    <w:rsid w:val="00FC5739"/>
    <w:rsid w:val="03830F9F"/>
    <w:rsid w:val="068C0E97"/>
    <w:rsid w:val="0EC6486D"/>
    <w:rsid w:val="1B063B16"/>
    <w:rsid w:val="273757CA"/>
    <w:rsid w:val="2F4949A0"/>
    <w:rsid w:val="4ECE5B15"/>
    <w:rsid w:val="56BF656B"/>
    <w:rsid w:val="574B2D42"/>
    <w:rsid w:val="6B2B3337"/>
    <w:rsid w:val="709F5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5609-7271-4A80-906C-6040E67677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393</Words>
  <Characters>2242</Characters>
  <Lines>18</Lines>
  <Paragraphs>5</Paragraphs>
  <TotalTime>183</TotalTime>
  <ScaleCrop>false</ScaleCrop>
  <LinksUpToDate>false</LinksUpToDate>
  <CharactersWithSpaces>2630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2021-10-21T03:53:00Z</dcterms:created>
  <dc:creator>肖昕</dc:creator>
  <cp:lastModifiedBy>Administrator</cp:lastModifiedBy>
  <cp:lastPrinted>2023-05-19T07:59:20Z</cp:lastPrinted>
  <dcterms:modified xsi:type="dcterms:W3CDTF">2023-05-19T07:59:28Z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006BF3FBC0204C3E9E01F24591557DAA</vt:lpwstr>
  </property>
</Properties>
</file>