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预期信用法实施模型全面验证项目资格预审报名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cstheme="minorBidi"/>
          <w:sz w:val="24"/>
          <w:szCs w:val="22"/>
          <w:highlight w:val="none"/>
        </w:rPr>
        <w:t>或事业单位法人证书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w:t>
      </w:r>
      <w:bookmarkStart w:id="1" w:name="_GoBack"/>
      <w:bookmarkEnd w:id="1"/>
      <w:r>
        <w:rPr>
          <w:rFonts w:hint="eastAsia" w:ascii="宋体" w:hAnsi="宋体" w:eastAsia="宋体" w:cs="宋体"/>
          <w:color w:val="000000"/>
          <w:kern w:val="0"/>
          <w:sz w:val="24"/>
          <w:szCs w:val="24"/>
        </w:rPr>
        <w:t>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AB2BF2"/>
    <w:rsid w:val="5B792FD6"/>
    <w:rsid w:val="5CAB196D"/>
    <w:rsid w:val="5CB33400"/>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2023-09-27T08:13:38Z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FACBCBED971D4D5FB72B59710BD43D9E</vt:lpwstr>
  </property>
</Properties>
</file>