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0" w:firstLineChars="0"/>
        <w:jc w:val="left"/>
        <w:rPr>
          <w:rFonts w:hint="default" w:ascii="宋体" w:hAnsi="宋体" w:cs="Arial"/>
          <w:b w:val="0"/>
          <w:bCs w:val="0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 w:cs="Arial"/>
          <w:b w:val="0"/>
          <w:bCs w:val="0"/>
          <w:sz w:val="24"/>
          <w:highlight w:val="none"/>
          <w:u w:val="none"/>
          <w:lang w:val="en-US" w:eastAsia="zh-CN"/>
        </w:rPr>
        <w:t>附件5：</w:t>
      </w:r>
    </w:p>
    <w:p>
      <w:pPr>
        <w:widowControl/>
        <w:spacing w:line="360" w:lineRule="auto"/>
        <w:ind w:firstLine="0" w:firstLineChars="0"/>
        <w:jc w:val="center"/>
        <w:rPr>
          <w:rFonts w:hint="eastAsia" w:ascii="宋体" w:hAnsi="宋体" w:cs="Arial"/>
          <w:b/>
          <w:bCs/>
          <w:sz w:val="24"/>
          <w:highlight w:val="none"/>
          <w:u w:val="none"/>
          <w:lang w:val="en-US" w:eastAsia="zh-CN"/>
        </w:rPr>
      </w:pPr>
      <w:bookmarkStart w:id="0" w:name="_GoBack"/>
      <w:r>
        <w:rPr>
          <w:rFonts w:hint="eastAsia" w:ascii="宋体" w:hAnsi="宋体" w:cs="Arial"/>
          <w:b/>
          <w:bCs/>
          <w:sz w:val="24"/>
          <w:highlight w:val="none"/>
          <w:u w:val="none"/>
          <w:lang w:val="en-US" w:eastAsia="zh-CN"/>
        </w:rPr>
        <w:t>代理费报价函</w:t>
      </w:r>
      <w:bookmarkEnd w:id="0"/>
    </w:p>
    <w:p>
      <w:pPr>
        <w:widowControl/>
        <w:spacing w:line="360" w:lineRule="auto"/>
        <w:ind w:firstLine="0" w:firstLineChars="0"/>
        <w:jc w:val="center"/>
        <w:rPr>
          <w:rFonts w:hint="eastAsia" w:ascii="宋体" w:hAnsi="宋体" w:cs="Arial"/>
          <w:sz w:val="24"/>
          <w:highlight w:val="none"/>
          <w:u w:val="single"/>
          <w:lang w:val="en-US" w:eastAsia="zh-CN"/>
        </w:rPr>
      </w:pPr>
    </w:p>
    <w:p>
      <w:pPr>
        <w:widowControl/>
        <w:spacing w:line="360" w:lineRule="auto"/>
        <w:ind w:firstLine="0" w:firstLineChars="0"/>
        <w:jc w:val="both"/>
        <w:rPr>
          <w:rFonts w:hint="default" w:ascii="宋体" w:hAnsi="宋体" w:cs="Arial"/>
          <w:b/>
          <w:bCs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 w:cs="Arial"/>
          <w:b/>
          <w:bCs/>
          <w:sz w:val="24"/>
          <w:highlight w:val="none"/>
          <w:u w:val="none"/>
          <w:lang w:val="en-US" w:eastAsia="zh-CN"/>
        </w:rPr>
        <w:t>一、诉讼阶段</w:t>
      </w:r>
    </w:p>
    <w:p>
      <w:pPr>
        <w:widowControl/>
        <w:spacing w:line="360" w:lineRule="auto"/>
        <w:ind w:firstLine="0" w:firstLineChars="0"/>
        <w:jc w:val="both"/>
        <w:rPr>
          <w:rFonts w:hint="eastAsia" w:ascii="宋体" w:hAnsi="宋体" w:cs="Arial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 w:cs="Arial"/>
          <w:sz w:val="24"/>
          <w:highlight w:val="none"/>
          <w:u w:val="none"/>
          <w:lang w:val="en-US" w:eastAsia="zh-CN"/>
        </w:rPr>
        <w:t>1、公司类诉讼案件：</w:t>
      </w:r>
    </w:p>
    <w:p>
      <w:pPr>
        <w:widowControl/>
        <w:spacing w:line="360" w:lineRule="auto"/>
        <w:ind w:firstLine="240" w:firstLineChars="100"/>
        <w:jc w:val="both"/>
        <w:rPr>
          <w:rFonts w:hint="eastAsia" w:ascii="宋体" w:hAnsi="宋体" w:cs="Arial"/>
          <w:sz w:val="24"/>
          <w:highlight w:val="none"/>
          <w:u w:val="single"/>
          <w:lang w:val="en-US" w:eastAsia="zh-CN"/>
        </w:rPr>
      </w:pPr>
      <w:r>
        <w:rPr>
          <w:rFonts w:hint="eastAsia" w:ascii="宋体" w:hAnsi="宋体" w:cs="Arial"/>
          <w:sz w:val="24"/>
          <w:highlight w:val="none"/>
          <w:u w:val="none"/>
          <w:lang w:val="en-US" w:eastAsia="zh-CN"/>
        </w:rPr>
        <w:t>0-500万                               报价金额</w:t>
      </w:r>
      <w:r>
        <w:rPr>
          <w:rFonts w:hint="eastAsia" w:ascii="宋体" w:hAnsi="宋体" w:cs="Arial"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cs="Arial"/>
          <w:sz w:val="24"/>
          <w:highlight w:val="none"/>
          <w:u w:val="none"/>
          <w:lang w:val="en-US" w:eastAsia="zh-CN"/>
        </w:rPr>
        <w:t>万元/件</w:t>
      </w:r>
    </w:p>
    <w:p>
      <w:pPr>
        <w:widowControl/>
        <w:spacing w:line="360" w:lineRule="auto"/>
        <w:ind w:firstLine="0" w:firstLineChars="0"/>
        <w:jc w:val="both"/>
        <w:rPr>
          <w:rFonts w:hint="eastAsia" w:ascii="宋体" w:hAnsi="宋体" w:cs="Arial"/>
          <w:sz w:val="24"/>
          <w:highlight w:val="none"/>
          <w:u w:val="single"/>
          <w:lang w:val="en-US" w:eastAsia="zh-CN"/>
        </w:rPr>
      </w:pPr>
      <w:r>
        <w:rPr>
          <w:rFonts w:hint="eastAsia" w:ascii="宋体" w:hAnsi="宋体" w:cs="Arial"/>
          <w:sz w:val="24"/>
          <w:highlight w:val="none"/>
          <w:u w:val="none"/>
          <w:lang w:val="en-US" w:eastAsia="zh-CN"/>
        </w:rPr>
        <w:t xml:space="preserve">  500万以上、1000万以下（不含1000万） 报价金额</w:t>
      </w:r>
      <w:r>
        <w:rPr>
          <w:rFonts w:hint="eastAsia" w:ascii="宋体" w:hAnsi="宋体" w:cs="Arial"/>
          <w:sz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cs="Arial"/>
          <w:sz w:val="24"/>
          <w:highlight w:val="none"/>
          <w:u w:val="none"/>
          <w:lang w:val="en-US" w:eastAsia="zh-CN"/>
        </w:rPr>
        <w:t>万元/件</w:t>
      </w:r>
    </w:p>
    <w:p>
      <w:pPr>
        <w:widowControl/>
        <w:spacing w:line="360" w:lineRule="auto"/>
        <w:ind w:firstLine="240" w:firstLineChars="100"/>
        <w:jc w:val="both"/>
        <w:rPr>
          <w:rFonts w:hint="eastAsia" w:ascii="宋体" w:hAnsi="宋体" w:cs="Arial"/>
          <w:sz w:val="24"/>
          <w:highlight w:val="none"/>
          <w:u w:val="single"/>
          <w:lang w:val="en-US" w:eastAsia="zh-CN"/>
        </w:rPr>
      </w:pPr>
      <w:r>
        <w:rPr>
          <w:rFonts w:hint="eastAsia" w:ascii="宋体" w:hAnsi="宋体" w:cs="Arial"/>
          <w:sz w:val="24"/>
          <w:highlight w:val="none"/>
          <w:u w:val="none"/>
          <w:lang w:val="en-US" w:eastAsia="zh-CN"/>
        </w:rPr>
        <w:t>1000万以上（不含）                    报价金额</w:t>
      </w:r>
      <w:r>
        <w:rPr>
          <w:rFonts w:hint="eastAsia" w:ascii="宋体" w:hAnsi="宋体" w:cs="Arial"/>
          <w:sz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cs="Arial"/>
          <w:sz w:val="24"/>
          <w:highlight w:val="none"/>
          <w:u w:val="none"/>
          <w:lang w:val="en-US" w:eastAsia="zh-CN"/>
        </w:rPr>
        <w:t>万元/件</w:t>
      </w:r>
    </w:p>
    <w:p>
      <w:pPr>
        <w:widowControl/>
        <w:numPr>
          <w:ilvl w:val="0"/>
          <w:numId w:val="1"/>
        </w:numPr>
        <w:spacing w:line="360" w:lineRule="auto"/>
        <w:ind w:firstLine="0" w:firstLineChars="0"/>
        <w:jc w:val="both"/>
        <w:rPr>
          <w:rFonts w:hint="eastAsia" w:ascii="宋体" w:hAnsi="宋体" w:cs="Arial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 w:cs="Arial"/>
          <w:sz w:val="24"/>
          <w:highlight w:val="none"/>
          <w:u w:val="none"/>
          <w:lang w:val="en-US" w:eastAsia="zh-CN"/>
        </w:rPr>
        <w:t>零售类诉讼案件：</w:t>
      </w:r>
    </w:p>
    <w:p>
      <w:pPr>
        <w:widowControl/>
        <w:numPr>
          <w:ilvl w:val="-1"/>
          <w:numId w:val="0"/>
        </w:numPr>
        <w:spacing w:line="360" w:lineRule="auto"/>
        <w:ind w:firstLine="0" w:firstLineChars="0"/>
        <w:jc w:val="both"/>
        <w:rPr>
          <w:rFonts w:hint="eastAsia" w:ascii="宋体" w:hAnsi="宋体" w:cs="Arial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 w:cs="Arial"/>
          <w:sz w:val="24"/>
          <w:highlight w:val="none"/>
          <w:u w:val="none"/>
          <w:lang w:val="en-US" w:eastAsia="zh-CN"/>
        </w:rPr>
        <w:t>每件按照本金的</w:t>
      </w:r>
      <w:r>
        <w:rPr>
          <w:rFonts w:hint="eastAsia" w:ascii="宋体" w:hAnsi="宋体" w:cs="Arial"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cs="Arial"/>
          <w:sz w:val="24"/>
          <w:highlight w:val="none"/>
          <w:u w:val="none"/>
          <w:lang w:val="en-US" w:eastAsia="zh-CN"/>
        </w:rPr>
        <w:t>%支付代理费，单件最低不得低于</w:t>
      </w:r>
      <w:r>
        <w:rPr>
          <w:rFonts w:hint="eastAsia" w:ascii="宋体" w:hAnsi="宋体" w:cs="Arial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cs="Arial"/>
          <w:sz w:val="24"/>
          <w:highlight w:val="none"/>
          <w:u w:val="none"/>
          <w:lang w:val="en-US" w:eastAsia="zh-CN"/>
        </w:rPr>
        <w:t>元/件，单件最高不得高于</w:t>
      </w:r>
      <w:r>
        <w:rPr>
          <w:rFonts w:hint="eastAsia" w:ascii="宋体" w:hAnsi="宋体" w:cs="Arial"/>
          <w:sz w:val="24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 w:cs="Arial"/>
          <w:sz w:val="24"/>
          <w:highlight w:val="none"/>
          <w:u w:val="none"/>
          <w:lang w:val="en-US" w:eastAsia="zh-CN"/>
        </w:rPr>
        <w:t>元/件</w:t>
      </w:r>
    </w:p>
    <w:p>
      <w:pPr>
        <w:widowControl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宋体" w:hAnsi="宋体" w:cs="Arial"/>
          <w:sz w:val="24"/>
          <w:highlight w:val="none"/>
          <w:u w:val="single"/>
          <w:lang w:val="en-US" w:eastAsia="zh-CN"/>
        </w:rPr>
      </w:pPr>
      <w:r>
        <w:rPr>
          <w:rFonts w:hint="eastAsia" w:ascii="宋体" w:hAnsi="宋体" w:cs="Arial"/>
          <w:sz w:val="24"/>
          <w:highlight w:val="none"/>
          <w:u w:val="none"/>
          <w:lang w:val="en-US" w:eastAsia="zh-CN"/>
        </w:rPr>
        <w:t>进入二审、再审阶段的，各阶段的代理费按照该案件一审阶段代理费的</w:t>
      </w:r>
      <w:r>
        <w:rPr>
          <w:rFonts w:hint="eastAsia" w:ascii="宋体" w:hAnsi="宋体" w:cs="Arial"/>
          <w:sz w:val="24"/>
          <w:highlight w:val="none"/>
          <w:u w:val="single"/>
          <w:lang w:val="en-US" w:eastAsia="zh-CN"/>
        </w:rPr>
        <w:t xml:space="preserve">   </w:t>
      </w:r>
    </w:p>
    <w:p>
      <w:pPr>
        <w:widowControl/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cs="Arial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 w:cs="Arial"/>
          <w:sz w:val="24"/>
          <w:highlight w:val="none"/>
          <w:u w:val="single"/>
          <w:lang w:val="en-US" w:eastAsia="zh-CN"/>
        </w:rPr>
        <w:t xml:space="preserve">   %</w:t>
      </w:r>
      <w:r>
        <w:rPr>
          <w:rFonts w:hint="eastAsia" w:ascii="宋体" w:hAnsi="宋体" w:cs="Arial"/>
          <w:sz w:val="24"/>
          <w:highlight w:val="none"/>
          <w:u w:val="none"/>
          <w:lang w:val="en-US" w:eastAsia="zh-CN"/>
        </w:rPr>
        <w:t>支付</w:t>
      </w:r>
    </w:p>
    <w:p>
      <w:pPr>
        <w:widowControl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宋体" w:hAnsi="宋体" w:cs="Arial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 w:cs="Arial"/>
          <w:sz w:val="24"/>
          <w:highlight w:val="none"/>
          <w:u w:val="none"/>
          <w:lang w:val="en-US" w:eastAsia="zh-CN"/>
        </w:rPr>
        <w:t xml:space="preserve">申请强制执行，不再支付律师费 </w:t>
      </w:r>
      <w:r>
        <w:rPr>
          <w:rFonts w:hint="eastAsia" w:ascii="宋体" w:hAnsi="宋体" w:eastAsia="宋体" w:cs="宋体"/>
          <w:sz w:val="28"/>
          <w:szCs w:val="28"/>
          <w:u w:val="none"/>
        </w:rPr>
        <w:t>□</w:t>
      </w:r>
      <w:r>
        <w:rPr>
          <w:rFonts w:hint="eastAsia" w:ascii="宋体" w:hAnsi="宋体" w:cs="Arial"/>
          <w:sz w:val="24"/>
          <w:highlight w:val="none"/>
          <w:u w:val="none"/>
          <w:lang w:val="en-US" w:eastAsia="zh-CN"/>
        </w:rPr>
        <w:t>同意，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□</w:t>
      </w:r>
      <w:r>
        <w:rPr>
          <w:rFonts w:hint="eastAsia" w:ascii="宋体" w:hAnsi="宋体" w:cs="Arial"/>
          <w:sz w:val="24"/>
          <w:highlight w:val="none"/>
          <w:u w:val="none"/>
          <w:lang w:val="en-US" w:eastAsia="zh-CN"/>
        </w:rPr>
        <w:t>不同意。</w:t>
      </w:r>
    </w:p>
    <w:p>
      <w:pPr>
        <w:widowControl/>
        <w:numPr>
          <w:ilvl w:val="0"/>
          <w:numId w:val="0"/>
        </w:numPr>
        <w:spacing w:line="360" w:lineRule="auto"/>
        <w:jc w:val="both"/>
        <w:rPr>
          <w:rFonts w:hint="default" w:ascii="宋体" w:hAnsi="宋体" w:cs="Arial"/>
          <w:sz w:val="24"/>
          <w:highlight w:val="none"/>
          <w:u w:val="none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jc w:val="both"/>
        <w:rPr>
          <w:rFonts w:hint="default" w:ascii="宋体" w:hAnsi="宋体" w:cs="Arial"/>
          <w:sz w:val="24"/>
          <w:highlight w:val="none"/>
          <w:u w:val="none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jc w:val="both"/>
        <w:rPr>
          <w:rFonts w:hint="default" w:ascii="宋体" w:hAnsi="宋体" w:cs="Arial"/>
          <w:sz w:val="24"/>
          <w:highlight w:val="none"/>
          <w:u w:val="none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jc w:val="both"/>
        <w:rPr>
          <w:rFonts w:hint="default" w:ascii="宋体" w:hAnsi="宋体" w:cs="Arial"/>
          <w:sz w:val="24"/>
          <w:highlight w:val="none"/>
          <w:u w:val="none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jc w:val="both"/>
        <w:rPr>
          <w:rFonts w:hint="default" w:ascii="宋体" w:hAnsi="宋体" w:cs="Arial"/>
          <w:sz w:val="24"/>
          <w:highlight w:val="none"/>
          <w:u w:val="none"/>
          <w:lang w:val="en-US" w:eastAsia="zh-CN"/>
        </w:rPr>
      </w:pPr>
    </w:p>
    <w:p>
      <w:pPr>
        <w:ind w:firstLine="4200" w:firstLineChars="15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公司名称：</w:t>
      </w:r>
    </w:p>
    <w:p>
      <w:pPr>
        <w:ind w:firstLine="4200" w:firstLineChars="15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E10531"/>
    <w:multiLevelType w:val="singleLevel"/>
    <w:tmpl w:val="BAE1053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66739"/>
    <w:rsid w:val="21C6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2024-04-23T01:55:00Z</dcterms:created>
  <dc:creator>林洁</dc:creator>
  <cp:lastModifiedBy>林洁</cp:lastModifiedBy>
  <dcterms:modified xsi:type="dcterms:W3CDTF">2024-04-23T01:55:47Z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