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8BD30F" w14:textId="2ADD4D7E" w:rsidR="00DC5585" w:rsidRPr="00515A17" w:rsidRDefault="00CF4DB9" w:rsidP="00DC5585">
      <w:pPr>
        <w:jc w:val="center"/>
        <w:rPr>
          <w:rFonts w:ascii="宋体" w:hAnsi="宋体"/>
          <w:b/>
          <w:sz w:val="30"/>
          <w:szCs w:val="30"/>
        </w:rPr>
      </w:pPr>
      <w:r w:rsidRPr="00515A17">
        <w:rPr>
          <w:rFonts w:hint="eastAsia"/>
          <w:b/>
          <w:sz w:val="30"/>
          <w:szCs w:val="30"/>
        </w:rPr>
        <w:t>易方达</w:t>
      </w:r>
      <w:r w:rsidR="00EF4D0C" w:rsidRPr="00515A17">
        <w:rPr>
          <w:rFonts w:hint="eastAsia"/>
          <w:b/>
          <w:sz w:val="30"/>
          <w:szCs w:val="30"/>
        </w:rPr>
        <w:t>保本</w:t>
      </w:r>
      <w:r w:rsidR="00EF4D0C" w:rsidRPr="00515A17">
        <w:rPr>
          <w:b/>
          <w:sz w:val="30"/>
          <w:szCs w:val="30"/>
        </w:rPr>
        <w:t>一号</w:t>
      </w:r>
      <w:r w:rsidRPr="00515A17">
        <w:rPr>
          <w:rFonts w:hint="eastAsia"/>
          <w:b/>
          <w:sz w:val="30"/>
          <w:szCs w:val="30"/>
        </w:rPr>
        <w:t>混合型证券投资基金</w:t>
      </w:r>
      <w:r w:rsidR="006E39FF">
        <w:rPr>
          <w:rFonts w:hint="eastAsia"/>
          <w:b/>
          <w:sz w:val="30"/>
          <w:szCs w:val="30"/>
        </w:rPr>
        <w:t>第一个</w:t>
      </w:r>
      <w:r w:rsidR="00816D7F" w:rsidRPr="00515A17">
        <w:rPr>
          <w:rFonts w:hint="eastAsia"/>
          <w:b/>
          <w:sz w:val="30"/>
          <w:szCs w:val="30"/>
        </w:rPr>
        <w:t>保本周期</w:t>
      </w:r>
      <w:r w:rsidR="00F34C3B" w:rsidRPr="00515A17">
        <w:rPr>
          <w:rFonts w:hint="eastAsia"/>
          <w:b/>
          <w:sz w:val="30"/>
          <w:szCs w:val="30"/>
        </w:rPr>
        <w:t>到期安排及转型为易方达丰华债券型证券投资基金相关业务规则的</w:t>
      </w:r>
      <w:r w:rsidR="00816D7F" w:rsidRPr="00515A17">
        <w:rPr>
          <w:rFonts w:hint="eastAsia"/>
          <w:b/>
          <w:sz w:val="30"/>
          <w:szCs w:val="30"/>
        </w:rPr>
        <w:t>公告</w:t>
      </w:r>
    </w:p>
    <w:p w14:paraId="4D2CBC64" w14:textId="77777777" w:rsidR="00012009" w:rsidRPr="00D9579B" w:rsidRDefault="00012009" w:rsidP="006060E1">
      <w:pPr>
        <w:pStyle w:val="a8"/>
        <w:spacing w:line="360" w:lineRule="auto"/>
        <w:ind w:firstLineChars="200" w:firstLine="480"/>
      </w:pPr>
    </w:p>
    <w:p w14:paraId="48442F48" w14:textId="4E1422DD" w:rsidR="00862D5E" w:rsidRDefault="00AC7CAC" w:rsidP="00261438">
      <w:pPr>
        <w:pStyle w:val="a8"/>
        <w:spacing w:before="0" w:beforeAutospacing="0" w:after="0" w:afterAutospacing="0" w:line="360" w:lineRule="auto"/>
        <w:ind w:firstLine="482"/>
        <w:rPr>
          <w:rFonts w:ascii="Times New Roman" w:cs="Times New Roman"/>
        </w:rPr>
      </w:pPr>
      <w:r w:rsidRPr="00862D5E">
        <w:rPr>
          <w:rFonts w:ascii="Times New Roman" w:cs="Times New Roman" w:hint="eastAsia"/>
        </w:rPr>
        <w:t>根据易方达基金管理有限公司（以下简称“基金管理人”）于</w:t>
      </w:r>
      <w:r w:rsidRPr="00862D5E">
        <w:rPr>
          <w:rFonts w:ascii="Times New Roman" w:cs="Times New Roman"/>
        </w:rPr>
        <w:t>2019</w:t>
      </w:r>
      <w:r w:rsidRPr="00862D5E">
        <w:rPr>
          <w:rFonts w:ascii="Times New Roman" w:cs="Times New Roman" w:hint="eastAsia"/>
        </w:rPr>
        <w:t>年</w:t>
      </w:r>
      <w:r w:rsidRPr="00862D5E">
        <w:rPr>
          <w:rFonts w:ascii="Times New Roman" w:cs="Times New Roman"/>
        </w:rPr>
        <w:t>1</w:t>
      </w:r>
      <w:r w:rsidRPr="00862D5E">
        <w:rPr>
          <w:rFonts w:ascii="Times New Roman" w:cs="Times New Roman" w:hint="eastAsia"/>
        </w:rPr>
        <w:t>月</w:t>
      </w:r>
      <w:r w:rsidRPr="001416A9">
        <w:rPr>
          <w:rFonts w:ascii="Times New Roman" w:cs="Times New Roman"/>
        </w:rPr>
        <w:t>3</w:t>
      </w:r>
      <w:r w:rsidRPr="001416A9">
        <w:rPr>
          <w:rFonts w:ascii="Times New Roman" w:cs="Times New Roman" w:hint="eastAsia"/>
        </w:rPr>
        <w:t>日在《上海证券报》</w:t>
      </w:r>
      <w:r w:rsidR="00157DDC">
        <w:rPr>
          <w:rFonts w:ascii="Times New Roman" w:cs="Times New Roman" w:hint="eastAsia"/>
        </w:rPr>
        <w:t>、</w:t>
      </w:r>
      <w:r w:rsidRPr="001416A9">
        <w:rPr>
          <w:rFonts w:ascii="Times New Roman" w:cs="Times New Roman" w:hint="eastAsia"/>
        </w:rPr>
        <w:t>易方达基金管理有限公司网站（</w:t>
      </w:r>
      <w:r w:rsidRPr="001416A9">
        <w:rPr>
          <w:rFonts w:ascii="Times New Roman" w:cs="Times New Roman"/>
        </w:rPr>
        <w:t>http://www.efunds.com.cn</w:t>
      </w:r>
      <w:r w:rsidRPr="001416A9">
        <w:rPr>
          <w:rFonts w:ascii="Times New Roman" w:cs="Times New Roman" w:hint="eastAsia"/>
        </w:rPr>
        <w:t>）发布的《易方达保本一号混合型证券投资基金基金份额持有人大会表决结果暨决议生效的公告》</w:t>
      </w:r>
      <w:r w:rsidRPr="008D641D">
        <w:rPr>
          <w:rFonts w:ascii="Times New Roman" w:cs="Times New Roman" w:hint="eastAsia"/>
        </w:rPr>
        <w:t>，易方达保本一号混合型证券投资基金（以下简称“</w:t>
      </w:r>
      <w:r w:rsidR="005F3756" w:rsidRPr="000B2A9D">
        <w:rPr>
          <w:rFonts w:ascii="Times New Roman" w:cs="Times New Roman" w:hint="eastAsia"/>
        </w:rPr>
        <w:t>保本一号</w:t>
      </w:r>
      <w:r w:rsidRPr="000B2A9D">
        <w:rPr>
          <w:rFonts w:ascii="Times New Roman" w:cs="Times New Roman" w:hint="eastAsia"/>
        </w:rPr>
        <w:t>”）</w:t>
      </w:r>
      <w:r w:rsidR="001416A9">
        <w:rPr>
          <w:rFonts w:ascii="Times New Roman" w:cs="Times New Roman" w:hint="eastAsia"/>
        </w:rPr>
        <w:t>在第一个保本周期到期后</w:t>
      </w:r>
      <w:r w:rsidRPr="001416A9">
        <w:rPr>
          <w:rFonts w:ascii="Times New Roman" w:cs="Times New Roman" w:hint="eastAsia"/>
        </w:rPr>
        <w:t>将</w:t>
      </w:r>
      <w:r w:rsidR="005F3756" w:rsidRPr="001416A9">
        <w:rPr>
          <w:rFonts w:ascii="Times New Roman" w:cs="Times New Roman" w:hint="eastAsia"/>
        </w:rPr>
        <w:t>转型为易方达丰华债券型证券投资基金（以下简称“丰华基金”）。</w:t>
      </w:r>
      <w:r w:rsidR="00862D5E" w:rsidRPr="008342C0">
        <w:rPr>
          <w:rFonts w:ascii="Times New Roman" w:cs="Times New Roman" w:hint="eastAsia"/>
        </w:rPr>
        <w:t>本次基金份额持有人大会决议实施日为</w:t>
      </w:r>
      <w:r w:rsidR="00862D5E" w:rsidRPr="008342C0">
        <w:rPr>
          <w:rFonts w:ascii="Times New Roman" w:cs="Times New Roman" w:hint="eastAsia"/>
        </w:rPr>
        <w:t>201</w:t>
      </w:r>
      <w:r w:rsidR="00862D5E" w:rsidRPr="008342C0">
        <w:rPr>
          <w:rFonts w:ascii="Times New Roman" w:cs="Times New Roman"/>
        </w:rPr>
        <w:t>9</w:t>
      </w:r>
      <w:r w:rsidR="00862D5E" w:rsidRPr="008342C0">
        <w:rPr>
          <w:rFonts w:ascii="Times New Roman" w:cs="Times New Roman" w:hint="eastAsia"/>
        </w:rPr>
        <w:t>年</w:t>
      </w:r>
      <w:r w:rsidR="00E542A1" w:rsidRPr="008342C0">
        <w:rPr>
          <w:rFonts w:ascii="Times New Roman" w:cs="Times New Roman"/>
        </w:rPr>
        <w:t>2</w:t>
      </w:r>
      <w:r w:rsidR="00862D5E" w:rsidRPr="008342C0">
        <w:rPr>
          <w:rFonts w:ascii="Times New Roman" w:cs="Times New Roman" w:hint="eastAsia"/>
        </w:rPr>
        <w:t>月</w:t>
      </w:r>
      <w:r w:rsidR="00862D5E" w:rsidRPr="008342C0">
        <w:rPr>
          <w:rFonts w:ascii="Times New Roman" w:cs="Times New Roman" w:hint="eastAsia"/>
        </w:rPr>
        <w:t>1</w:t>
      </w:r>
      <w:r w:rsidR="00E542A1" w:rsidRPr="008342C0">
        <w:rPr>
          <w:rFonts w:ascii="Times New Roman" w:cs="Times New Roman" w:hint="eastAsia"/>
        </w:rPr>
        <w:t>9</w:t>
      </w:r>
      <w:r w:rsidR="00862D5E" w:rsidRPr="008342C0">
        <w:rPr>
          <w:rFonts w:ascii="Times New Roman" w:cs="Times New Roman" w:hint="eastAsia"/>
        </w:rPr>
        <w:t>日。为更好的满足投资者的退出需求，保本一号在第一个保本周期结束后将不再设置到期操作</w:t>
      </w:r>
      <w:r w:rsidR="00FB410B" w:rsidRPr="008342C0">
        <w:rPr>
          <w:rFonts w:ascii="Times New Roman" w:cs="Times New Roman" w:hint="eastAsia"/>
        </w:rPr>
        <w:t>期间</w:t>
      </w:r>
      <w:r w:rsidR="00862D5E" w:rsidRPr="008342C0">
        <w:rPr>
          <w:rFonts w:ascii="Times New Roman" w:cs="Times New Roman" w:hint="eastAsia"/>
        </w:rPr>
        <w:t>，而是自</w:t>
      </w:r>
      <w:r w:rsidR="00862D5E" w:rsidRPr="008342C0">
        <w:rPr>
          <w:rFonts w:ascii="Times New Roman" w:cs="Times New Roman"/>
        </w:rPr>
        <w:t>2019</w:t>
      </w:r>
      <w:r w:rsidR="00862D5E" w:rsidRPr="008342C0">
        <w:rPr>
          <w:rFonts w:ascii="Times New Roman" w:cs="Times New Roman"/>
        </w:rPr>
        <w:t>年</w:t>
      </w:r>
      <w:r w:rsidR="00862D5E" w:rsidRPr="008342C0">
        <w:rPr>
          <w:rFonts w:ascii="Times New Roman" w:cs="Times New Roman"/>
        </w:rPr>
        <w:t>1</w:t>
      </w:r>
      <w:r w:rsidR="00862D5E" w:rsidRPr="008342C0">
        <w:rPr>
          <w:rFonts w:ascii="Times New Roman" w:cs="Times New Roman"/>
        </w:rPr>
        <w:t>月</w:t>
      </w:r>
      <w:r w:rsidR="00862D5E" w:rsidRPr="008342C0">
        <w:rPr>
          <w:rFonts w:ascii="Times New Roman" w:cs="Times New Roman" w:hint="eastAsia"/>
        </w:rPr>
        <w:t>1</w:t>
      </w:r>
      <w:r w:rsidR="00862D5E" w:rsidRPr="008342C0">
        <w:rPr>
          <w:rFonts w:ascii="Times New Roman" w:cs="Times New Roman"/>
        </w:rPr>
        <w:t>4</w:t>
      </w:r>
      <w:r w:rsidR="00862D5E" w:rsidRPr="008342C0">
        <w:rPr>
          <w:rFonts w:ascii="Times New Roman" w:cs="Times New Roman" w:hint="eastAsia"/>
        </w:rPr>
        <w:t>日</w:t>
      </w:r>
      <w:r w:rsidR="00862D5E" w:rsidRPr="008342C0">
        <w:rPr>
          <w:rFonts w:ascii="Times New Roman" w:cs="Times New Roman"/>
        </w:rPr>
        <w:t>至</w:t>
      </w:r>
      <w:r w:rsidR="00862D5E" w:rsidRPr="008342C0">
        <w:rPr>
          <w:rFonts w:ascii="Times New Roman" w:cs="Times New Roman"/>
        </w:rPr>
        <w:t>2019</w:t>
      </w:r>
      <w:r w:rsidR="00862D5E" w:rsidRPr="008342C0">
        <w:rPr>
          <w:rFonts w:ascii="Times New Roman" w:cs="Times New Roman"/>
        </w:rPr>
        <w:t>年</w:t>
      </w:r>
      <w:r w:rsidR="00862D5E" w:rsidRPr="008342C0">
        <w:rPr>
          <w:rFonts w:ascii="Times New Roman" w:cs="Times New Roman"/>
        </w:rPr>
        <w:t>2</w:t>
      </w:r>
      <w:r w:rsidR="00862D5E" w:rsidRPr="008342C0">
        <w:rPr>
          <w:rFonts w:ascii="Times New Roman" w:cs="Times New Roman"/>
        </w:rPr>
        <w:t>月</w:t>
      </w:r>
      <w:r w:rsidR="00E542A1" w:rsidRPr="008342C0">
        <w:rPr>
          <w:rFonts w:ascii="Times New Roman" w:cs="Times New Roman"/>
        </w:rPr>
        <w:t>1</w:t>
      </w:r>
      <w:r w:rsidR="00862D5E" w:rsidRPr="008342C0">
        <w:rPr>
          <w:rFonts w:ascii="Times New Roman" w:cs="Times New Roman"/>
        </w:rPr>
        <w:t>8</w:t>
      </w:r>
      <w:r w:rsidR="00862D5E" w:rsidRPr="008342C0">
        <w:rPr>
          <w:rFonts w:ascii="Times New Roman" w:cs="Times New Roman"/>
        </w:rPr>
        <w:t>日</w:t>
      </w:r>
      <w:r w:rsidR="00862D5E" w:rsidRPr="008342C0">
        <w:rPr>
          <w:rFonts w:ascii="Times New Roman" w:cs="Times New Roman" w:hint="eastAsia"/>
        </w:rPr>
        <w:t>为</w:t>
      </w:r>
      <w:r w:rsidR="00862D5E" w:rsidRPr="008342C0">
        <w:rPr>
          <w:rFonts w:ascii="Times New Roman" w:cs="Times New Roman"/>
        </w:rPr>
        <w:t>投资者选择期，投资者在此期间可</w:t>
      </w:r>
      <w:r w:rsidR="00862D5E">
        <w:t>选择赎回</w:t>
      </w:r>
      <w:r w:rsidR="00523AD9">
        <w:t>或转换转出（如开放转换转出业务，基金管理人将另行公告，下同）</w:t>
      </w:r>
      <w:r w:rsidR="00862D5E">
        <w:rPr>
          <w:rFonts w:hint="eastAsia"/>
        </w:rPr>
        <w:t>基金</w:t>
      </w:r>
      <w:r w:rsidR="00862D5E">
        <w:t>份额。</w:t>
      </w:r>
    </w:p>
    <w:p w14:paraId="77FC1443" w14:textId="77777777" w:rsidR="00523AD9" w:rsidRPr="008342C0" w:rsidRDefault="00523AD9" w:rsidP="00261438">
      <w:pPr>
        <w:pStyle w:val="a8"/>
        <w:spacing w:before="0" w:beforeAutospacing="0" w:after="0" w:afterAutospacing="0" w:line="360" w:lineRule="auto"/>
        <w:ind w:firstLine="482"/>
        <w:rPr>
          <w:rFonts w:ascii="Times New Roman" w:cs="Times New Roman"/>
          <w:b/>
        </w:rPr>
      </w:pPr>
      <w:r w:rsidRPr="008342C0">
        <w:rPr>
          <w:rFonts w:ascii="Times New Roman" w:cs="Times New Roman" w:hint="eastAsia"/>
          <w:b/>
        </w:rPr>
        <w:t>由保本一号转型而成的丰华基金不含任何保本保障机制，无意持有丰华</w:t>
      </w:r>
      <w:proofErr w:type="gramStart"/>
      <w:r w:rsidRPr="008342C0">
        <w:rPr>
          <w:rFonts w:ascii="Times New Roman" w:cs="Times New Roman" w:hint="eastAsia"/>
          <w:b/>
        </w:rPr>
        <w:t>基金基金</w:t>
      </w:r>
      <w:proofErr w:type="gramEnd"/>
      <w:r w:rsidRPr="008342C0">
        <w:rPr>
          <w:rFonts w:ascii="Times New Roman" w:cs="Times New Roman" w:hint="eastAsia"/>
          <w:b/>
        </w:rPr>
        <w:t>份额的投资者请提前做好退出安排。</w:t>
      </w:r>
    </w:p>
    <w:p w14:paraId="7AD6A6A8" w14:textId="376D7966" w:rsidR="00AC7CAC" w:rsidRPr="00862D5E" w:rsidRDefault="005F3756" w:rsidP="00261438">
      <w:pPr>
        <w:pStyle w:val="a8"/>
        <w:spacing w:before="0" w:beforeAutospacing="0" w:after="0" w:afterAutospacing="0" w:line="360" w:lineRule="auto"/>
        <w:ind w:firstLine="482"/>
        <w:rPr>
          <w:rFonts w:ascii="Times New Roman" w:cs="Times New Roman"/>
        </w:rPr>
      </w:pPr>
      <w:r w:rsidRPr="00862D5E">
        <w:rPr>
          <w:rFonts w:ascii="Times New Roman" w:cs="Times New Roman" w:hint="eastAsia"/>
        </w:rPr>
        <w:t>现将保本一号</w:t>
      </w:r>
      <w:r w:rsidR="00523AD9">
        <w:rPr>
          <w:rFonts w:ascii="Times New Roman" w:cs="Times New Roman" w:hint="eastAsia"/>
        </w:rPr>
        <w:t>第一个</w:t>
      </w:r>
      <w:r w:rsidRPr="00862D5E">
        <w:rPr>
          <w:rFonts w:ascii="Times New Roman" w:cs="Times New Roman" w:hint="eastAsia"/>
        </w:rPr>
        <w:t>保本周期到期安排及转型为丰华基金相关业务规则</w:t>
      </w:r>
      <w:r w:rsidR="00F34C3B" w:rsidRPr="00862D5E">
        <w:rPr>
          <w:rFonts w:ascii="Times New Roman" w:cs="Times New Roman" w:hint="eastAsia"/>
        </w:rPr>
        <w:t>提示</w:t>
      </w:r>
      <w:r w:rsidRPr="00862D5E">
        <w:rPr>
          <w:rFonts w:ascii="Times New Roman" w:cs="Times New Roman" w:hint="eastAsia"/>
        </w:rPr>
        <w:t>如下：</w:t>
      </w:r>
    </w:p>
    <w:p w14:paraId="17C48281" w14:textId="4739E55C" w:rsidR="00F34C3B" w:rsidRPr="001416A9" w:rsidRDefault="00F34C3B" w:rsidP="00261438">
      <w:pPr>
        <w:pStyle w:val="a8"/>
        <w:spacing w:before="0" w:beforeAutospacing="0" w:after="0" w:afterAutospacing="0" w:line="360" w:lineRule="auto"/>
        <w:ind w:firstLine="482"/>
        <w:rPr>
          <w:rFonts w:ascii="Times New Roman" w:cs="Times New Roman"/>
        </w:rPr>
      </w:pPr>
      <w:r w:rsidRPr="00A35A5C">
        <w:rPr>
          <w:rFonts w:ascii="Times New Roman" w:cs="Times New Roman"/>
        </w:rPr>
        <w:t>一</w:t>
      </w:r>
      <w:r w:rsidRPr="001416A9">
        <w:rPr>
          <w:rFonts w:ascii="Times New Roman" w:cs="Times New Roman"/>
        </w:rPr>
        <w:t>、保本一号</w:t>
      </w:r>
      <w:r w:rsidR="00523AD9">
        <w:rPr>
          <w:rFonts w:ascii="Times New Roman" w:cs="Times New Roman"/>
        </w:rPr>
        <w:t>第一个</w:t>
      </w:r>
      <w:r w:rsidRPr="001416A9">
        <w:rPr>
          <w:rFonts w:ascii="Times New Roman" w:cs="Times New Roman"/>
        </w:rPr>
        <w:t>保本周期到期安排</w:t>
      </w:r>
    </w:p>
    <w:p w14:paraId="68CF51EC" w14:textId="07899CC8" w:rsidR="00FC230D" w:rsidRPr="00261438" w:rsidRDefault="00FC230D" w:rsidP="00261438">
      <w:pPr>
        <w:pStyle w:val="a8"/>
        <w:spacing w:before="0" w:beforeAutospacing="0" w:after="0" w:afterAutospacing="0" w:line="360" w:lineRule="auto"/>
        <w:ind w:firstLine="482"/>
        <w:rPr>
          <w:rFonts w:ascii="Times New Roman" w:cs="Times New Roman"/>
        </w:rPr>
      </w:pPr>
      <w:r w:rsidRPr="00261438">
        <w:rPr>
          <w:rFonts w:ascii="Times New Roman" w:cs="Times New Roman"/>
        </w:rPr>
        <w:t>1</w:t>
      </w:r>
      <w:r w:rsidRPr="00261438">
        <w:rPr>
          <w:rFonts w:ascii="Times New Roman" w:cs="Times New Roman" w:hint="eastAsia"/>
        </w:rPr>
        <w:t>、保本一号第一个保本周期到期日为</w:t>
      </w:r>
      <w:r w:rsidRPr="00261438">
        <w:rPr>
          <w:rFonts w:ascii="Times New Roman" w:cs="Times New Roman"/>
        </w:rPr>
        <w:t>2019</w:t>
      </w:r>
      <w:r w:rsidRPr="00261438">
        <w:rPr>
          <w:rFonts w:ascii="Times New Roman" w:cs="Times New Roman"/>
        </w:rPr>
        <w:t>年</w:t>
      </w:r>
      <w:r w:rsidRPr="00261438">
        <w:rPr>
          <w:rFonts w:ascii="Times New Roman" w:cs="Times New Roman"/>
        </w:rPr>
        <w:t>1</w:t>
      </w:r>
      <w:r w:rsidRPr="00261438">
        <w:rPr>
          <w:rFonts w:ascii="Times New Roman" w:cs="Times New Roman"/>
        </w:rPr>
        <w:t>月</w:t>
      </w:r>
      <w:r w:rsidRPr="00261438">
        <w:rPr>
          <w:rFonts w:ascii="Times New Roman" w:cs="Times New Roman"/>
        </w:rPr>
        <w:t>14</w:t>
      </w:r>
      <w:r w:rsidRPr="00261438">
        <w:rPr>
          <w:rFonts w:ascii="Times New Roman" w:cs="Times New Roman"/>
        </w:rPr>
        <w:t>日</w:t>
      </w:r>
      <w:r w:rsidRPr="00261438">
        <w:rPr>
          <w:rFonts w:ascii="Times New Roman" w:cs="Times New Roman" w:hint="eastAsia"/>
        </w:rPr>
        <w:t>，</w:t>
      </w:r>
      <w:r w:rsidRPr="00261438">
        <w:rPr>
          <w:rFonts w:ascii="Times New Roman" w:cs="Times New Roman"/>
        </w:rPr>
        <w:t>基金份额持有人可</w:t>
      </w:r>
      <w:r w:rsidRPr="00261438">
        <w:rPr>
          <w:rFonts w:ascii="Times New Roman" w:cs="Times New Roman" w:hint="eastAsia"/>
        </w:rPr>
        <w:t>自</w:t>
      </w:r>
      <w:r w:rsidR="00476620" w:rsidRPr="009B34B1">
        <w:rPr>
          <w:rFonts w:ascii="Times New Roman" w:cs="Times New Roman"/>
        </w:rPr>
        <w:t>2019</w:t>
      </w:r>
      <w:r w:rsidR="00476620" w:rsidRPr="009B34B1">
        <w:rPr>
          <w:rFonts w:ascii="Times New Roman" w:cs="Times New Roman"/>
        </w:rPr>
        <w:t>年</w:t>
      </w:r>
      <w:r w:rsidR="00476620" w:rsidRPr="009B34B1">
        <w:rPr>
          <w:rFonts w:ascii="Times New Roman" w:cs="Times New Roman"/>
        </w:rPr>
        <w:t>1</w:t>
      </w:r>
      <w:r w:rsidR="00476620" w:rsidRPr="009B34B1">
        <w:rPr>
          <w:rFonts w:ascii="Times New Roman" w:cs="Times New Roman"/>
        </w:rPr>
        <w:t>月</w:t>
      </w:r>
      <w:r w:rsidR="00476620" w:rsidRPr="009B34B1">
        <w:rPr>
          <w:rFonts w:ascii="Times New Roman" w:cs="Times New Roman"/>
        </w:rPr>
        <w:t>14</w:t>
      </w:r>
      <w:r w:rsidR="00476620" w:rsidRPr="009B34B1">
        <w:rPr>
          <w:rFonts w:ascii="Times New Roman" w:cs="Times New Roman"/>
        </w:rPr>
        <w:t>日</w:t>
      </w:r>
      <w:r w:rsidRPr="00261438">
        <w:rPr>
          <w:rFonts w:ascii="Times New Roman" w:cs="Times New Roman" w:hint="eastAsia"/>
        </w:rPr>
        <w:t>起赎回或转换转出</w:t>
      </w:r>
      <w:r w:rsidR="001416A9">
        <w:rPr>
          <w:rFonts w:ascii="Times New Roman" w:cs="Times New Roman" w:hint="eastAsia"/>
        </w:rPr>
        <w:t>保本一号</w:t>
      </w:r>
      <w:r w:rsidRPr="00261438">
        <w:rPr>
          <w:rFonts w:ascii="Times New Roman" w:cs="Times New Roman" w:hint="eastAsia"/>
        </w:rPr>
        <w:t>基金份额，</w:t>
      </w:r>
      <w:r w:rsidR="00523AD9">
        <w:rPr>
          <w:rFonts w:hint="eastAsia"/>
        </w:rPr>
        <w:t>对于基金份额持有人认购并持有到第一个保本周期到期日的基金份额适用保本相关条款</w:t>
      </w:r>
      <w:r w:rsidRPr="00261438">
        <w:rPr>
          <w:rFonts w:ascii="Times New Roman" w:cs="Times New Roman" w:hint="eastAsia"/>
        </w:rPr>
        <w:t>。</w:t>
      </w:r>
    </w:p>
    <w:p w14:paraId="7486BA60" w14:textId="2E7E6CBA" w:rsidR="00583225" w:rsidRDefault="00FC230D" w:rsidP="00583225">
      <w:pPr>
        <w:pStyle w:val="a8"/>
        <w:spacing w:before="0" w:beforeAutospacing="0" w:after="0" w:afterAutospacing="0" w:line="360" w:lineRule="auto"/>
        <w:ind w:firstLine="482"/>
      </w:pPr>
      <w:r w:rsidRPr="00261438">
        <w:rPr>
          <w:rFonts w:ascii="Times New Roman" w:cs="Times New Roman"/>
        </w:rPr>
        <w:t>2</w:t>
      </w:r>
      <w:r w:rsidRPr="00261438">
        <w:rPr>
          <w:rFonts w:ascii="Times New Roman" w:cs="Times New Roman" w:hint="eastAsia"/>
        </w:rPr>
        <w:t>、</w:t>
      </w:r>
      <w:r w:rsidRPr="00261438">
        <w:rPr>
          <w:rFonts w:ascii="Times New Roman" w:cs="Times New Roman"/>
        </w:rPr>
        <w:t>2019</w:t>
      </w:r>
      <w:r w:rsidRPr="00261438">
        <w:rPr>
          <w:rFonts w:ascii="Times New Roman" w:cs="Times New Roman"/>
        </w:rPr>
        <w:t>年</w:t>
      </w:r>
      <w:r w:rsidRPr="00261438">
        <w:rPr>
          <w:rFonts w:ascii="Times New Roman" w:cs="Times New Roman"/>
        </w:rPr>
        <w:t>1</w:t>
      </w:r>
      <w:r w:rsidRPr="00261438">
        <w:rPr>
          <w:rFonts w:ascii="Times New Roman" w:cs="Times New Roman"/>
        </w:rPr>
        <w:t>月</w:t>
      </w:r>
      <w:r w:rsidRPr="00261438">
        <w:rPr>
          <w:rFonts w:ascii="Times New Roman" w:cs="Times New Roman"/>
        </w:rPr>
        <w:t>15</w:t>
      </w:r>
      <w:r w:rsidRPr="00261438">
        <w:rPr>
          <w:rFonts w:ascii="Times New Roman" w:cs="Times New Roman"/>
        </w:rPr>
        <w:t>日</w:t>
      </w:r>
      <w:r w:rsidR="001416A9" w:rsidRPr="00261438">
        <w:rPr>
          <w:rFonts w:ascii="Times New Roman" w:cs="Times New Roman"/>
        </w:rPr>
        <w:t>至</w:t>
      </w:r>
      <w:r w:rsidR="001416A9" w:rsidRPr="008342C0">
        <w:rPr>
          <w:rFonts w:ascii="Times New Roman" w:cs="Times New Roman"/>
        </w:rPr>
        <w:t>2019</w:t>
      </w:r>
      <w:r w:rsidR="001416A9" w:rsidRPr="008342C0">
        <w:rPr>
          <w:rFonts w:ascii="Times New Roman" w:cs="Times New Roman"/>
        </w:rPr>
        <w:t>年</w:t>
      </w:r>
      <w:r w:rsidR="001416A9" w:rsidRPr="008342C0">
        <w:rPr>
          <w:rFonts w:ascii="Times New Roman" w:cs="Times New Roman"/>
        </w:rPr>
        <w:t>2</w:t>
      </w:r>
      <w:r w:rsidR="001416A9" w:rsidRPr="008342C0">
        <w:rPr>
          <w:rFonts w:ascii="Times New Roman" w:cs="Times New Roman"/>
        </w:rPr>
        <w:t>月</w:t>
      </w:r>
      <w:r w:rsidR="00E542A1" w:rsidRPr="008342C0">
        <w:rPr>
          <w:rFonts w:ascii="Times New Roman" w:cs="Times New Roman"/>
        </w:rPr>
        <w:t>1</w:t>
      </w:r>
      <w:r w:rsidR="001416A9" w:rsidRPr="008342C0">
        <w:rPr>
          <w:rFonts w:ascii="Times New Roman" w:cs="Times New Roman"/>
        </w:rPr>
        <w:t>8</w:t>
      </w:r>
      <w:r w:rsidR="001416A9" w:rsidRPr="008342C0">
        <w:rPr>
          <w:rFonts w:ascii="Times New Roman" w:cs="Times New Roman"/>
        </w:rPr>
        <w:t>日</w:t>
      </w:r>
      <w:r w:rsidRPr="00261438">
        <w:rPr>
          <w:rFonts w:ascii="Times New Roman" w:cs="Times New Roman"/>
        </w:rPr>
        <w:t>，保本一号</w:t>
      </w:r>
      <w:r w:rsidR="00862D5E" w:rsidRPr="00261438">
        <w:rPr>
          <w:rFonts w:ascii="Times New Roman" w:cs="Times New Roman"/>
        </w:rPr>
        <w:t>不计提</w:t>
      </w:r>
      <w:r w:rsidR="00862D5E" w:rsidRPr="00261438">
        <w:rPr>
          <w:rFonts w:ascii="Times New Roman" w:cs="Times New Roman" w:hint="eastAsia"/>
        </w:rPr>
        <w:t>管理费、托管费。在选择期内，</w:t>
      </w:r>
      <w:r w:rsidR="001416A9" w:rsidRPr="00261438">
        <w:rPr>
          <w:rFonts w:ascii="Times New Roman" w:cs="Times New Roman" w:hint="eastAsia"/>
        </w:rPr>
        <w:t>保本一号</w:t>
      </w:r>
      <w:r w:rsidR="00862D5E" w:rsidRPr="00261438">
        <w:rPr>
          <w:rFonts w:ascii="Times New Roman" w:cs="Times New Roman"/>
        </w:rPr>
        <w:t>基金份额持有人选择赎回</w:t>
      </w:r>
      <w:r w:rsidR="001416A9" w:rsidRPr="00261438">
        <w:rPr>
          <w:rFonts w:ascii="Times New Roman" w:cs="Times New Roman"/>
        </w:rPr>
        <w:t>所持有的保本一号基金份额，</w:t>
      </w:r>
      <w:r w:rsidR="00862D5E" w:rsidRPr="00261438">
        <w:rPr>
          <w:rFonts w:ascii="Times New Roman" w:cs="Times New Roman"/>
        </w:rPr>
        <w:t>无需支付赎回费用；选择转换为基金管理人管理的其他基金时</w:t>
      </w:r>
      <w:r w:rsidR="001416A9" w:rsidRPr="00261438">
        <w:rPr>
          <w:rFonts w:ascii="Times New Roman" w:cs="Times New Roman"/>
        </w:rPr>
        <w:t>，</w:t>
      </w:r>
      <w:r w:rsidR="00862D5E" w:rsidRPr="00261438">
        <w:rPr>
          <w:rFonts w:ascii="Times New Roman" w:cs="Times New Roman"/>
        </w:rPr>
        <w:t>无需支付赎回费用和</w:t>
      </w:r>
      <w:r w:rsidR="00862D5E" w:rsidRPr="00261438">
        <w:rPr>
          <w:rFonts w:ascii="Times New Roman" w:cs="Times New Roman" w:hint="eastAsia"/>
        </w:rPr>
        <w:t>申购</w:t>
      </w:r>
      <w:r w:rsidR="00862D5E" w:rsidRPr="00261438">
        <w:rPr>
          <w:rFonts w:ascii="Times New Roman" w:cs="Times New Roman"/>
        </w:rPr>
        <w:t>补差费用；</w:t>
      </w:r>
      <w:r w:rsidR="00862D5E" w:rsidRPr="00261438">
        <w:rPr>
          <w:rFonts w:ascii="Times New Roman" w:cs="Times New Roman" w:hint="eastAsia"/>
        </w:rPr>
        <w:t>选择期结束后，</w:t>
      </w:r>
      <w:r w:rsidR="001416A9" w:rsidRPr="00261438">
        <w:rPr>
          <w:rFonts w:ascii="Times New Roman" w:cs="Times New Roman" w:hint="eastAsia"/>
        </w:rPr>
        <w:t>保本一号</w:t>
      </w:r>
      <w:r w:rsidR="001416A9" w:rsidRPr="00261438">
        <w:rPr>
          <w:rFonts w:ascii="Times New Roman" w:cs="Times New Roman"/>
        </w:rPr>
        <w:t>基金份额持有人</w:t>
      </w:r>
      <w:r w:rsidR="00862D5E" w:rsidRPr="00261438">
        <w:rPr>
          <w:rFonts w:ascii="Times New Roman" w:cs="Times New Roman" w:hint="eastAsia"/>
        </w:rPr>
        <w:t>未赎</w:t>
      </w:r>
      <w:r w:rsidR="00862D5E" w:rsidRPr="007613B7">
        <w:rPr>
          <w:rFonts w:hint="eastAsia"/>
        </w:rPr>
        <w:t>回</w:t>
      </w:r>
      <w:r w:rsidR="008D641D">
        <w:rPr>
          <w:rFonts w:hint="eastAsia"/>
        </w:rPr>
        <w:t>或转换转出</w:t>
      </w:r>
      <w:r w:rsidR="00862D5E" w:rsidRPr="007613B7">
        <w:rPr>
          <w:rFonts w:hint="eastAsia"/>
        </w:rPr>
        <w:t>的保本一号基金份额</w:t>
      </w:r>
      <w:r w:rsidR="001416A9">
        <w:rPr>
          <w:rFonts w:hint="eastAsia"/>
        </w:rPr>
        <w:t>，</w:t>
      </w:r>
      <w:r w:rsidR="00862D5E" w:rsidRPr="007613B7">
        <w:rPr>
          <w:rFonts w:hint="eastAsia"/>
        </w:rPr>
        <w:t>将转为丰华基金A类份额</w:t>
      </w:r>
      <w:r w:rsidR="00862D5E" w:rsidRPr="007624B1">
        <w:rPr>
          <w:bCs/>
        </w:rPr>
        <w:t>，</w:t>
      </w:r>
      <w:r w:rsidR="00862D5E">
        <w:rPr>
          <w:bCs/>
        </w:rPr>
        <w:t>投资者</w:t>
      </w:r>
      <w:r w:rsidR="00862D5E" w:rsidRPr="007624B1">
        <w:rPr>
          <w:bCs/>
        </w:rPr>
        <w:t>无需支付赎回费用和</w:t>
      </w:r>
      <w:r w:rsidR="00862D5E">
        <w:rPr>
          <w:rFonts w:hint="eastAsia"/>
          <w:bCs/>
        </w:rPr>
        <w:t>认购</w:t>
      </w:r>
      <w:r w:rsidR="00862D5E">
        <w:rPr>
          <w:bCs/>
        </w:rPr>
        <w:t>/</w:t>
      </w:r>
      <w:r w:rsidR="00862D5E" w:rsidRPr="007624B1">
        <w:rPr>
          <w:bCs/>
        </w:rPr>
        <w:t>申购费用。</w:t>
      </w:r>
      <w:r w:rsidR="00583225">
        <w:rPr>
          <w:rFonts w:ascii="Times New Roman" w:hint="eastAsia"/>
        </w:rPr>
        <w:t>原保本一号</w:t>
      </w:r>
      <w:r w:rsidR="00583225" w:rsidRPr="001846D0">
        <w:rPr>
          <w:rFonts w:ascii="Times New Roman" w:hint="eastAsia"/>
        </w:rPr>
        <w:t>基金份额持有人选择继续持有转型后的</w:t>
      </w:r>
      <w:r w:rsidR="00583225">
        <w:rPr>
          <w:rFonts w:ascii="Times New Roman" w:hint="eastAsia"/>
        </w:rPr>
        <w:t>丰华基金的</w:t>
      </w:r>
      <w:r w:rsidR="00583225" w:rsidRPr="001846D0">
        <w:rPr>
          <w:rFonts w:ascii="Times New Roman" w:hint="eastAsia"/>
        </w:rPr>
        <w:t>，其因本次转型而持有的</w:t>
      </w:r>
      <w:r w:rsidR="00583225">
        <w:rPr>
          <w:rFonts w:ascii="Times New Roman" w:hint="eastAsia"/>
        </w:rPr>
        <w:t>丰华</w:t>
      </w:r>
      <w:proofErr w:type="gramStart"/>
      <w:r w:rsidR="00583225">
        <w:rPr>
          <w:rFonts w:ascii="Times New Roman" w:hint="eastAsia"/>
        </w:rPr>
        <w:t>基金基金</w:t>
      </w:r>
      <w:proofErr w:type="gramEnd"/>
      <w:r w:rsidR="00583225">
        <w:rPr>
          <w:rFonts w:ascii="Times New Roman" w:hint="eastAsia"/>
        </w:rPr>
        <w:t>份额</w:t>
      </w:r>
      <w:r w:rsidR="00583225" w:rsidRPr="001846D0">
        <w:rPr>
          <w:rFonts w:ascii="Times New Roman" w:hint="eastAsia"/>
        </w:rPr>
        <w:t>的持有期限</w:t>
      </w:r>
      <w:r w:rsidR="00583225">
        <w:rPr>
          <w:rFonts w:ascii="Times New Roman" w:hint="eastAsia"/>
        </w:rPr>
        <w:t>，</w:t>
      </w:r>
      <w:r w:rsidR="00583225" w:rsidRPr="001846D0">
        <w:rPr>
          <w:rFonts w:ascii="Times New Roman" w:hint="eastAsia"/>
        </w:rPr>
        <w:t>将从其原取</w:t>
      </w:r>
      <w:r w:rsidR="00583225" w:rsidRPr="001846D0">
        <w:rPr>
          <w:rFonts w:ascii="Times New Roman" w:hint="eastAsia"/>
        </w:rPr>
        <w:lastRenderedPageBreak/>
        <w:t>得</w:t>
      </w:r>
      <w:r w:rsidR="00583225">
        <w:rPr>
          <w:rFonts w:ascii="Times New Roman" w:hint="eastAsia"/>
        </w:rPr>
        <w:t>保本一号基金份额</w:t>
      </w:r>
      <w:r w:rsidR="00583225" w:rsidRPr="001846D0">
        <w:rPr>
          <w:rFonts w:ascii="Times New Roman" w:hint="eastAsia"/>
        </w:rPr>
        <w:t>之日起连续计算。</w:t>
      </w:r>
      <w:r w:rsidR="00A035D7">
        <w:rPr>
          <w:rFonts w:ascii="Times New Roman" w:hint="eastAsia"/>
        </w:rPr>
        <w:t>原保本一号</w:t>
      </w:r>
      <w:r w:rsidR="00A035D7" w:rsidRPr="001846D0">
        <w:rPr>
          <w:rFonts w:ascii="Times New Roman" w:hint="eastAsia"/>
        </w:rPr>
        <w:t>基金份额持有人</w:t>
      </w:r>
      <w:r w:rsidR="00523AD9">
        <w:rPr>
          <w:rFonts w:hint="eastAsia"/>
        </w:rPr>
        <w:t>选择将所持有</w:t>
      </w:r>
      <w:r w:rsidR="00A035D7">
        <w:rPr>
          <w:rFonts w:ascii="Times New Roman" w:hint="eastAsia"/>
        </w:rPr>
        <w:t>保本一号基金份额</w:t>
      </w:r>
      <w:r w:rsidR="00523AD9">
        <w:rPr>
          <w:rFonts w:hint="eastAsia"/>
        </w:rPr>
        <w:t>转换为其他</w:t>
      </w:r>
      <w:proofErr w:type="gramStart"/>
      <w:r w:rsidR="00523AD9">
        <w:rPr>
          <w:rFonts w:hint="eastAsia"/>
        </w:rPr>
        <w:t>基金</w:t>
      </w:r>
      <w:r w:rsidR="00A035D7">
        <w:rPr>
          <w:rFonts w:hint="eastAsia"/>
        </w:rPr>
        <w:t>基金</w:t>
      </w:r>
      <w:proofErr w:type="gramEnd"/>
      <w:r w:rsidR="00523AD9">
        <w:rPr>
          <w:rFonts w:hint="eastAsia"/>
        </w:rPr>
        <w:t>份额的，转换转入基金份额持有期自基金转换申请确认日起重新计算。</w:t>
      </w:r>
    </w:p>
    <w:p w14:paraId="5885A270" w14:textId="77777777" w:rsidR="009638F5" w:rsidRPr="007C6B8D" w:rsidRDefault="00A35A5C" w:rsidP="009638F5">
      <w:pPr>
        <w:pStyle w:val="a8"/>
        <w:spacing w:before="0" w:beforeAutospacing="0" w:after="0" w:afterAutospacing="0" w:line="360" w:lineRule="auto"/>
        <w:ind w:firstLine="482"/>
        <w:rPr>
          <w:rFonts w:ascii="Times New Roman"/>
        </w:rPr>
      </w:pPr>
      <w:r>
        <w:rPr>
          <w:rFonts w:ascii="Times New Roman" w:cs="Times New Roman"/>
        </w:rPr>
        <w:t>3</w:t>
      </w:r>
      <w:r>
        <w:rPr>
          <w:rFonts w:ascii="Times New Roman" w:cs="Times New Roman"/>
        </w:rPr>
        <w:t>、选择期内</w:t>
      </w:r>
      <w:r w:rsidRPr="007C6B8D">
        <w:rPr>
          <w:rFonts w:ascii="Times New Roman"/>
        </w:rPr>
        <w:t>，</w:t>
      </w:r>
      <w:r w:rsidRPr="007C6B8D">
        <w:rPr>
          <w:rFonts w:ascii="Times New Roman" w:hint="eastAsia"/>
        </w:rPr>
        <w:t>除暂时无法变现的基金财产之外，基金管理人将使</w:t>
      </w:r>
      <w:r w:rsidR="001416A9" w:rsidRPr="007C6B8D">
        <w:rPr>
          <w:rFonts w:ascii="Times New Roman" w:hint="eastAsia"/>
        </w:rPr>
        <w:t>保本一号</w:t>
      </w:r>
      <w:r w:rsidRPr="007C6B8D">
        <w:rPr>
          <w:rFonts w:ascii="Times New Roman" w:hint="eastAsia"/>
        </w:rPr>
        <w:t>基金财产保持为现金形式。</w:t>
      </w:r>
    </w:p>
    <w:p w14:paraId="464ECFC5" w14:textId="19B595C8" w:rsidR="009638F5" w:rsidRPr="007C6B8D" w:rsidRDefault="009638F5" w:rsidP="009638F5">
      <w:pPr>
        <w:pStyle w:val="a8"/>
        <w:spacing w:before="0" w:beforeAutospacing="0" w:after="0" w:afterAutospacing="0" w:line="360" w:lineRule="auto"/>
        <w:ind w:firstLine="482"/>
        <w:rPr>
          <w:rFonts w:ascii="Times New Roman"/>
        </w:rPr>
      </w:pPr>
      <w:r w:rsidRPr="007C6B8D">
        <w:rPr>
          <w:rFonts w:ascii="Times New Roman" w:hint="eastAsia"/>
        </w:rPr>
        <w:t>4</w:t>
      </w:r>
      <w:r w:rsidRPr="007C6B8D">
        <w:rPr>
          <w:rFonts w:ascii="Times New Roman"/>
        </w:rPr>
        <w:t>、</w:t>
      </w:r>
      <w:r w:rsidRPr="007C6B8D">
        <w:rPr>
          <w:rFonts w:ascii="Times New Roman" w:hint="eastAsia"/>
        </w:rPr>
        <w:t>选择期内，本基金接受赎回和转换转出申请，不接受申购和转换转入申请。</w:t>
      </w:r>
    </w:p>
    <w:p w14:paraId="3DC3A98D" w14:textId="77777777" w:rsidR="008D641D" w:rsidRPr="00261438" w:rsidRDefault="000B2A9D" w:rsidP="00261438">
      <w:pPr>
        <w:pStyle w:val="a8"/>
        <w:spacing w:before="0" w:beforeAutospacing="0" w:after="0" w:afterAutospacing="0" w:line="360" w:lineRule="auto"/>
        <w:ind w:firstLine="482"/>
        <w:rPr>
          <w:rFonts w:ascii="Times New Roman"/>
        </w:rPr>
      </w:pPr>
      <w:r w:rsidRPr="000B2A9D">
        <w:rPr>
          <w:rFonts w:ascii="Times New Roman" w:cs="Times New Roman" w:hint="eastAsia"/>
        </w:rPr>
        <w:t>二、</w:t>
      </w:r>
      <w:r w:rsidR="008D641D" w:rsidRPr="00261438">
        <w:rPr>
          <w:rFonts w:ascii="Times New Roman" w:cs="Times New Roman" w:hint="eastAsia"/>
        </w:rPr>
        <w:t>保本</w:t>
      </w:r>
      <w:r>
        <w:rPr>
          <w:rFonts w:ascii="Times New Roman" w:cs="Times New Roman" w:hint="eastAsia"/>
        </w:rPr>
        <w:t>相关</w:t>
      </w:r>
      <w:r w:rsidR="008D641D" w:rsidRPr="00261438">
        <w:rPr>
          <w:rFonts w:ascii="Times New Roman" w:cs="Times New Roman" w:hint="eastAsia"/>
        </w:rPr>
        <w:t>条款</w:t>
      </w:r>
      <w:r w:rsidR="008D641D" w:rsidRPr="00261438">
        <w:rPr>
          <w:rFonts w:ascii="Times New Roman" w:cs="Times New Roman"/>
        </w:rPr>
        <w:t xml:space="preserve"> </w:t>
      </w:r>
    </w:p>
    <w:p w14:paraId="164C556D" w14:textId="1DBB48B2" w:rsidR="008D641D" w:rsidRPr="00261438" w:rsidRDefault="008D641D" w:rsidP="00261438">
      <w:pPr>
        <w:pStyle w:val="a8"/>
        <w:spacing w:before="0" w:beforeAutospacing="0" w:after="0" w:afterAutospacing="0" w:line="360" w:lineRule="auto"/>
        <w:ind w:firstLine="482"/>
        <w:rPr>
          <w:rFonts w:ascii="Times New Roman"/>
        </w:rPr>
      </w:pPr>
      <w:r w:rsidRPr="00261438">
        <w:rPr>
          <w:rFonts w:ascii="Times New Roman" w:cs="Times New Roman"/>
        </w:rPr>
        <w:t>1</w:t>
      </w:r>
      <w:r w:rsidRPr="00261438">
        <w:rPr>
          <w:rFonts w:ascii="Times New Roman" w:cs="Times New Roman" w:hint="eastAsia"/>
        </w:rPr>
        <w:t>、对于认购并持有到期的基金份额，基金份额持有人无论选择赎回、转换为基金管理人管理的其他基金，或者未</w:t>
      </w:r>
      <w:proofErr w:type="gramStart"/>
      <w:r w:rsidRPr="00261438">
        <w:rPr>
          <w:rFonts w:ascii="Times New Roman" w:cs="Times New Roman" w:hint="eastAsia"/>
        </w:rPr>
        <w:t>作出</w:t>
      </w:r>
      <w:proofErr w:type="gramEnd"/>
      <w:r w:rsidRPr="00261438">
        <w:rPr>
          <w:rFonts w:ascii="Times New Roman" w:cs="Times New Roman" w:hint="eastAsia"/>
        </w:rPr>
        <w:t>选择，持有的保本一号基金份额在选择期结束后转为丰华基金</w:t>
      </w:r>
      <w:r w:rsidRPr="00261438">
        <w:rPr>
          <w:rFonts w:ascii="Times New Roman" w:cs="Times New Roman"/>
        </w:rPr>
        <w:t>A</w:t>
      </w:r>
      <w:r w:rsidRPr="00261438">
        <w:rPr>
          <w:rFonts w:ascii="Times New Roman" w:cs="Times New Roman" w:hint="eastAsia"/>
        </w:rPr>
        <w:t>类份额</w:t>
      </w:r>
      <w:r w:rsidR="000B2A9D" w:rsidRPr="00261438">
        <w:rPr>
          <w:rFonts w:ascii="Times New Roman" w:cs="Times New Roman" w:hint="eastAsia"/>
        </w:rPr>
        <w:t>的，其认购并持有到期的基金份额都同样</w:t>
      </w:r>
      <w:r w:rsidRPr="00261438">
        <w:rPr>
          <w:rFonts w:ascii="Times New Roman" w:cs="Times New Roman" w:hint="eastAsia"/>
        </w:rPr>
        <w:t>适用保本条款</w:t>
      </w:r>
      <w:r w:rsidR="000B2A9D" w:rsidRPr="00261438">
        <w:rPr>
          <w:rFonts w:ascii="Times New Roman" w:cs="Times New Roman" w:hint="eastAsia"/>
        </w:rPr>
        <w:t>。</w:t>
      </w:r>
    </w:p>
    <w:p w14:paraId="0975E9DA" w14:textId="77777777" w:rsidR="000B2A9D" w:rsidRPr="00261438" w:rsidRDefault="000B2A9D" w:rsidP="00261438">
      <w:pPr>
        <w:pStyle w:val="a8"/>
        <w:spacing w:before="0" w:beforeAutospacing="0" w:after="0" w:afterAutospacing="0" w:line="360" w:lineRule="auto"/>
        <w:ind w:firstLine="482"/>
        <w:rPr>
          <w:rFonts w:ascii="Times New Roman"/>
        </w:rPr>
      </w:pPr>
      <w:r w:rsidRPr="00261438">
        <w:rPr>
          <w:rFonts w:ascii="Times New Roman" w:cs="Times New Roman"/>
        </w:rPr>
        <w:t>2</w:t>
      </w:r>
      <w:r w:rsidRPr="00261438">
        <w:rPr>
          <w:rFonts w:ascii="Times New Roman" w:cs="Times New Roman" w:hint="eastAsia"/>
        </w:rPr>
        <w:t>、保本一号第一个保本周期到期日</w:t>
      </w:r>
      <w:r w:rsidR="00476620">
        <w:rPr>
          <w:rFonts w:ascii="Times New Roman" w:cs="Times New Roman" w:hint="eastAsia"/>
        </w:rPr>
        <w:t>（即</w:t>
      </w:r>
      <w:r w:rsidR="00476620" w:rsidRPr="009B34B1">
        <w:rPr>
          <w:rFonts w:ascii="Times New Roman" w:cs="Times New Roman"/>
        </w:rPr>
        <w:t>2019</w:t>
      </w:r>
      <w:r w:rsidR="00476620" w:rsidRPr="009B34B1">
        <w:rPr>
          <w:rFonts w:ascii="Times New Roman" w:cs="Times New Roman"/>
        </w:rPr>
        <w:t>年</w:t>
      </w:r>
      <w:r w:rsidR="00476620" w:rsidRPr="009B34B1">
        <w:rPr>
          <w:rFonts w:ascii="Times New Roman" w:cs="Times New Roman"/>
        </w:rPr>
        <w:t>1</w:t>
      </w:r>
      <w:r w:rsidR="00476620" w:rsidRPr="009B34B1">
        <w:rPr>
          <w:rFonts w:ascii="Times New Roman" w:cs="Times New Roman"/>
        </w:rPr>
        <w:t>月</w:t>
      </w:r>
      <w:r w:rsidR="00476620" w:rsidRPr="009B34B1">
        <w:rPr>
          <w:rFonts w:ascii="Times New Roman" w:cs="Times New Roman"/>
        </w:rPr>
        <w:t>14</w:t>
      </w:r>
      <w:r w:rsidR="00476620" w:rsidRPr="009B34B1">
        <w:rPr>
          <w:rFonts w:ascii="Times New Roman" w:cs="Times New Roman"/>
        </w:rPr>
        <w:t>日</w:t>
      </w:r>
      <w:r w:rsidR="00476620">
        <w:rPr>
          <w:rFonts w:ascii="Times New Roman" w:cs="Times New Roman" w:hint="eastAsia"/>
        </w:rPr>
        <w:t>）</w:t>
      </w:r>
      <w:r w:rsidRPr="00261438">
        <w:rPr>
          <w:rFonts w:ascii="Times New Roman" w:cs="Times New Roman" w:hint="eastAsia"/>
        </w:rPr>
        <w:t>，如基金份额持有人认购并持有到期的基金份额与到期日基金份额净值的乘积（即</w:t>
      </w:r>
      <w:r w:rsidRPr="00261438">
        <w:rPr>
          <w:rFonts w:ascii="Times New Roman" w:cs="Times New Roman"/>
        </w:rPr>
        <w:t>“</w:t>
      </w:r>
      <w:r w:rsidRPr="00261438">
        <w:rPr>
          <w:rFonts w:ascii="Times New Roman" w:cs="Times New Roman" w:hint="eastAsia"/>
        </w:rPr>
        <w:t>认购并持有到期的基金份额的可赎回金额</w:t>
      </w:r>
      <w:r w:rsidRPr="00261438">
        <w:rPr>
          <w:rFonts w:ascii="Times New Roman" w:cs="Times New Roman"/>
        </w:rPr>
        <w:t>”</w:t>
      </w:r>
      <w:r w:rsidRPr="00261438">
        <w:rPr>
          <w:rFonts w:ascii="Times New Roman" w:cs="Times New Roman" w:hint="eastAsia"/>
        </w:rPr>
        <w:t>）加上该部分基金份额在第一个保本周期的累计分红款项之和计算的总金额低于其保本金额，基金管理人应支付该差额（即保本赔付差额），并在保本周期到期日后</w:t>
      </w:r>
      <w:r w:rsidRPr="00261438">
        <w:rPr>
          <w:rFonts w:ascii="Times New Roman" w:cs="Times New Roman"/>
        </w:rPr>
        <w:t>20</w:t>
      </w:r>
      <w:r w:rsidRPr="00261438">
        <w:rPr>
          <w:rFonts w:ascii="Times New Roman" w:cs="Times New Roman" w:hint="eastAsia"/>
        </w:rPr>
        <w:t>个工作日内（含该日）将该差额支付给基金份额持有人，担保人对此提供不可撤销的连带责任保证。</w:t>
      </w:r>
      <w:r>
        <w:rPr>
          <w:rFonts w:ascii="Times New Roman" w:cs="Times New Roman"/>
        </w:rPr>
        <w:t>保本一号</w:t>
      </w:r>
      <w:r w:rsidRPr="00261438">
        <w:rPr>
          <w:rFonts w:ascii="Times New Roman" w:cs="Times New Roman" w:hint="eastAsia"/>
        </w:rPr>
        <w:t>第一个保本周期的保本金额，为基金募集期内认购本基金的投资人认购并持有到期的基金份额的投资金额，即基金份额持有人认购并持有到期的基金份额的净认购金额、认购费用及募集期间的利息收入之</w:t>
      </w:r>
      <w:proofErr w:type="gramStart"/>
      <w:r w:rsidRPr="00261438">
        <w:rPr>
          <w:rFonts w:ascii="Times New Roman" w:cs="Times New Roman" w:hint="eastAsia"/>
        </w:rPr>
        <w:t>和</w:t>
      </w:r>
      <w:proofErr w:type="gramEnd"/>
      <w:r w:rsidRPr="00261438">
        <w:rPr>
          <w:rFonts w:ascii="Times New Roman" w:cs="Times New Roman" w:hint="eastAsia"/>
        </w:rPr>
        <w:t>。</w:t>
      </w:r>
    </w:p>
    <w:p w14:paraId="0B990CF7" w14:textId="1AACFCE9" w:rsidR="004C6159" w:rsidRDefault="008D641D" w:rsidP="00CC70EF">
      <w:pPr>
        <w:pStyle w:val="a8"/>
        <w:spacing w:before="0" w:beforeAutospacing="0" w:after="0" w:afterAutospacing="0" w:line="360" w:lineRule="auto"/>
        <w:ind w:firstLine="482"/>
        <w:rPr>
          <w:rFonts w:ascii="Times New Roman" w:cs="Times New Roman"/>
        </w:rPr>
      </w:pPr>
      <w:r w:rsidRPr="00261438">
        <w:rPr>
          <w:rFonts w:ascii="Times New Roman" w:cs="Times New Roman"/>
        </w:rPr>
        <w:t>3</w:t>
      </w:r>
      <w:r w:rsidRPr="00261438">
        <w:rPr>
          <w:rFonts w:ascii="Times New Roman" w:cs="Times New Roman" w:hint="eastAsia"/>
        </w:rPr>
        <w:t>、</w:t>
      </w:r>
      <w:r w:rsidR="00CC70EF" w:rsidRPr="00261438">
        <w:rPr>
          <w:rFonts w:ascii="Times New Roman" w:cs="Times New Roman"/>
        </w:rPr>
        <w:t>如果符合条件的基金份额持有人认购并持有到期的基金份额的可赎回金额加上其认购并持有到期的基金份额累计分红款项之和计算的总金额低于其认购保本金额，</w:t>
      </w:r>
      <w:proofErr w:type="gramStart"/>
      <w:r w:rsidR="00CC70EF" w:rsidRPr="00261438">
        <w:rPr>
          <w:rFonts w:ascii="Times New Roman" w:cs="Times New Roman"/>
        </w:rPr>
        <w:t>且基金</w:t>
      </w:r>
      <w:proofErr w:type="gramEnd"/>
      <w:r w:rsidR="00CC70EF" w:rsidRPr="00261438">
        <w:rPr>
          <w:rFonts w:ascii="Times New Roman" w:cs="Times New Roman"/>
        </w:rPr>
        <w:t>管理人</w:t>
      </w:r>
      <w:r w:rsidR="00CC70EF" w:rsidRPr="00261438">
        <w:rPr>
          <w:rFonts w:ascii="Times New Roman" w:cs="Times New Roman" w:hint="eastAsia"/>
        </w:rPr>
        <w:t>未能按照保本一号基金合同的约定</w:t>
      </w:r>
      <w:r w:rsidR="00CC70EF" w:rsidRPr="00261438">
        <w:rPr>
          <w:rFonts w:ascii="Times New Roman" w:cs="Times New Roman"/>
        </w:rPr>
        <w:t>全额履行保本义务的，基金管理人应</w:t>
      </w:r>
      <w:r w:rsidR="00CC70EF" w:rsidRPr="00261438">
        <w:rPr>
          <w:rFonts w:ascii="Times New Roman" w:cs="Times New Roman" w:hint="eastAsia"/>
        </w:rPr>
        <w:t>立即通知担保人，并</w:t>
      </w:r>
      <w:r w:rsidR="00CC70EF" w:rsidRPr="00261438">
        <w:rPr>
          <w:rFonts w:ascii="Times New Roman" w:cs="Times New Roman"/>
        </w:rPr>
        <w:t>在保本周期到期日后</w:t>
      </w:r>
      <w:r w:rsidR="00CC70EF" w:rsidRPr="00261438">
        <w:rPr>
          <w:rFonts w:ascii="Times New Roman" w:cs="Times New Roman"/>
        </w:rPr>
        <w:t>7</w:t>
      </w:r>
      <w:r w:rsidR="00CC70EF" w:rsidRPr="00261438">
        <w:rPr>
          <w:rFonts w:ascii="Times New Roman" w:cs="Times New Roman"/>
        </w:rPr>
        <w:t>个工作日内，向担保人发出书面《履行保证责任通知书》</w:t>
      </w:r>
      <w:r w:rsidR="00523AD9">
        <w:rPr>
          <w:rFonts w:hint="eastAsia"/>
        </w:rPr>
        <w:t>（应当载明基金管理人应向基金份额持有人支付的本基金保本赔付差额总额、基金管理人已自行偿付的金额、需担保人支付的代偿金额以及基金管理人的指定账户信息）</w:t>
      </w:r>
      <w:r w:rsidR="00CC70EF" w:rsidRPr="00261438">
        <w:rPr>
          <w:rFonts w:ascii="Times New Roman" w:cs="Times New Roman"/>
        </w:rPr>
        <w:t>。担保人将在收到基金管理人发出的《履行保证责任通知书》后的</w:t>
      </w:r>
      <w:r w:rsidR="00CC70EF" w:rsidRPr="00261438">
        <w:rPr>
          <w:rFonts w:ascii="Times New Roman" w:cs="Times New Roman"/>
        </w:rPr>
        <w:t>5</w:t>
      </w:r>
      <w:r w:rsidR="00CC70EF" w:rsidRPr="00261438">
        <w:rPr>
          <w:rFonts w:ascii="Times New Roman" w:cs="Times New Roman"/>
        </w:rPr>
        <w:t>个工作日内，将《履行保证责</w:t>
      </w:r>
      <w:r w:rsidR="00CC70EF" w:rsidRPr="00261438">
        <w:rPr>
          <w:rFonts w:ascii="Times New Roman" w:cs="Times New Roman"/>
        </w:rPr>
        <w:lastRenderedPageBreak/>
        <w:t>任通知书》载明的代偿金额</w:t>
      </w:r>
      <w:r w:rsidR="00CC70EF" w:rsidRPr="00261438">
        <w:rPr>
          <w:rFonts w:ascii="Times New Roman" w:cs="Times New Roman" w:hint="eastAsia"/>
        </w:rPr>
        <w:t>一次性足额</w:t>
      </w:r>
      <w:r w:rsidR="00CC70EF" w:rsidRPr="00261438">
        <w:rPr>
          <w:rFonts w:ascii="Times New Roman" w:cs="Times New Roman"/>
        </w:rPr>
        <w:t>划入本基金管理人的指定账户中，由基金管理人将该差额支付给基金份额持有人。若担保人在保本周期到期日后</w:t>
      </w:r>
      <w:r w:rsidR="00CC70EF" w:rsidRPr="00261438">
        <w:rPr>
          <w:rFonts w:ascii="Times New Roman" w:cs="Times New Roman"/>
        </w:rPr>
        <w:t>20</w:t>
      </w:r>
      <w:r w:rsidR="00CC70EF" w:rsidRPr="00261438">
        <w:rPr>
          <w:rFonts w:ascii="Times New Roman" w:cs="Times New Roman"/>
        </w:rPr>
        <w:t>个工作日（含第</w:t>
      </w:r>
      <w:r w:rsidR="00CC70EF" w:rsidRPr="00261438">
        <w:rPr>
          <w:rFonts w:ascii="Times New Roman" w:cs="Times New Roman"/>
        </w:rPr>
        <w:t>20</w:t>
      </w:r>
      <w:r w:rsidR="00CC70EF" w:rsidRPr="00261438">
        <w:rPr>
          <w:rFonts w:ascii="Times New Roman" w:cs="Times New Roman"/>
        </w:rPr>
        <w:t>个工作日）内未主动履行</w:t>
      </w:r>
      <w:r w:rsidR="00CC70EF" w:rsidRPr="00261438">
        <w:rPr>
          <w:rFonts w:ascii="Times New Roman" w:cs="Times New Roman" w:hint="eastAsia"/>
        </w:rPr>
        <w:t>保证</w:t>
      </w:r>
      <w:r w:rsidR="00CC70EF" w:rsidRPr="00261438">
        <w:rPr>
          <w:rFonts w:ascii="Times New Roman" w:cs="Times New Roman"/>
        </w:rPr>
        <w:t>责任的，自保本周期到期后第</w:t>
      </w:r>
      <w:r w:rsidR="00CC70EF" w:rsidRPr="00261438">
        <w:rPr>
          <w:rFonts w:ascii="Times New Roman" w:cs="Times New Roman"/>
        </w:rPr>
        <w:t>21</w:t>
      </w:r>
      <w:r w:rsidR="00CC70EF" w:rsidRPr="00261438">
        <w:rPr>
          <w:rFonts w:ascii="Times New Roman" w:cs="Times New Roman"/>
        </w:rPr>
        <w:t>个工作日起，基金</w:t>
      </w:r>
      <w:r w:rsidR="00CC70EF" w:rsidRPr="00261438">
        <w:rPr>
          <w:rFonts w:ascii="Times New Roman" w:cs="Times New Roman" w:hint="eastAsia"/>
        </w:rPr>
        <w:t>份额</w:t>
      </w:r>
      <w:r w:rsidR="00CC70EF" w:rsidRPr="00261438">
        <w:rPr>
          <w:rFonts w:ascii="Times New Roman" w:cs="Times New Roman"/>
        </w:rPr>
        <w:t>持有人有权直接就差额部分向基金管理人或担保人追偿。担保人将代偿金额全额划入本</w:t>
      </w:r>
      <w:proofErr w:type="gramStart"/>
      <w:r w:rsidR="00CC70EF" w:rsidRPr="00261438">
        <w:rPr>
          <w:rFonts w:ascii="Times New Roman" w:cs="Times New Roman"/>
        </w:rPr>
        <w:t>基金基金</w:t>
      </w:r>
      <w:proofErr w:type="gramEnd"/>
      <w:r w:rsidR="00CC70EF" w:rsidRPr="00261438">
        <w:rPr>
          <w:rFonts w:ascii="Times New Roman" w:cs="Times New Roman"/>
        </w:rPr>
        <w:t>管理人的指定账户后即为全部履行了保证责任，担保人无须对基金份额持有人逐一进行清偿。</w:t>
      </w:r>
      <w:proofErr w:type="gramStart"/>
      <w:r w:rsidR="00CC70EF" w:rsidRPr="00261438">
        <w:rPr>
          <w:rFonts w:ascii="Times New Roman" w:cs="Times New Roman"/>
        </w:rPr>
        <w:t>代偿款</w:t>
      </w:r>
      <w:proofErr w:type="gramEnd"/>
      <w:r w:rsidR="00CC70EF" w:rsidRPr="00261438">
        <w:rPr>
          <w:rFonts w:ascii="Times New Roman" w:cs="Times New Roman"/>
        </w:rPr>
        <w:t>的分配与支付由基金管理人负责，担保人对此不承担责任。</w:t>
      </w:r>
      <w:proofErr w:type="gramStart"/>
      <w:r w:rsidR="00CC70EF" w:rsidRPr="00261438">
        <w:rPr>
          <w:rFonts w:ascii="Times New Roman" w:cs="Times New Roman" w:hint="eastAsia"/>
        </w:rPr>
        <w:t>代偿款分配</w:t>
      </w:r>
      <w:proofErr w:type="gramEnd"/>
      <w:r w:rsidR="00CC70EF" w:rsidRPr="00261438">
        <w:rPr>
          <w:rFonts w:ascii="Times New Roman" w:cs="Times New Roman" w:hint="eastAsia"/>
        </w:rPr>
        <w:t>的具体规定和支付日期以基金管理人届时公告为准</w:t>
      </w:r>
      <w:r w:rsidRPr="00261438">
        <w:rPr>
          <w:rFonts w:ascii="Times New Roman" w:cs="Times New Roman" w:hint="eastAsia"/>
        </w:rPr>
        <w:t>。</w:t>
      </w:r>
    </w:p>
    <w:p w14:paraId="09931F20" w14:textId="77777777" w:rsidR="00B84B03" w:rsidRPr="00261438" w:rsidRDefault="00081002" w:rsidP="00261438">
      <w:pPr>
        <w:pStyle w:val="a8"/>
        <w:spacing w:before="0" w:beforeAutospacing="0" w:after="0" w:afterAutospacing="0" w:line="360" w:lineRule="auto"/>
        <w:ind w:firstLine="482"/>
        <w:rPr>
          <w:rFonts w:ascii="Times New Roman" w:cs="Times New Roman"/>
        </w:rPr>
      </w:pPr>
      <w:r w:rsidRPr="00261438">
        <w:rPr>
          <w:rFonts w:ascii="Times New Roman" w:cs="Times New Roman" w:hint="eastAsia"/>
        </w:rPr>
        <w:t>三</w:t>
      </w:r>
      <w:r w:rsidR="007D098A" w:rsidRPr="00261438">
        <w:rPr>
          <w:rFonts w:ascii="Times New Roman" w:cs="Times New Roman"/>
        </w:rPr>
        <w:t>、</w:t>
      </w:r>
      <w:r w:rsidR="00B84B03" w:rsidRPr="00261438">
        <w:rPr>
          <w:rFonts w:ascii="Times New Roman" w:cs="Times New Roman" w:hint="eastAsia"/>
        </w:rPr>
        <w:t>本</w:t>
      </w:r>
      <w:proofErr w:type="gramStart"/>
      <w:r w:rsidR="00B84B03" w:rsidRPr="00261438">
        <w:rPr>
          <w:rFonts w:ascii="Times New Roman" w:cs="Times New Roman" w:hint="eastAsia"/>
        </w:rPr>
        <w:t>基金基金</w:t>
      </w:r>
      <w:proofErr w:type="gramEnd"/>
      <w:r w:rsidR="00B84B03" w:rsidRPr="00261438">
        <w:rPr>
          <w:rFonts w:ascii="Times New Roman" w:cs="Times New Roman" w:hint="eastAsia"/>
        </w:rPr>
        <w:t>份额</w:t>
      </w:r>
      <w:r w:rsidR="001569F4" w:rsidRPr="00261438">
        <w:rPr>
          <w:rFonts w:ascii="Times New Roman" w:cs="Times New Roman" w:hint="eastAsia"/>
        </w:rPr>
        <w:t>持有人大会决议相关事项的实施情况</w:t>
      </w:r>
    </w:p>
    <w:p w14:paraId="6C1DB55C" w14:textId="77777777" w:rsidR="00EA1F8C" w:rsidRPr="00476620" w:rsidRDefault="00072B7A" w:rsidP="00261438">
      <w:pPr>
        <w:pStyle w:val="a8"/>
        <w:spacing w:before="0" w:beforeAutospacing="0" w:after="0" w:afterAutospacing="0" w:line="360" w:lineRule="auto"/>
        <w:ind w:firstLine="482"/>
      </w:pPr>
      <w:r w:rsidRPr="00261438">
        <w:rPr>
          <w:rFonts w:ascii="Times New Roman" w:cs="Times New Roman" w:hint="eastAsia"/>
        </w:rPr>
        <w:t>（一）</w:t>
      </w:r>
      <w:r w:rsidR="00103641" w:rsidRPr="00261438">
        <w:rPr>
          <w:rFonts w:ascii="Times New Roman" w:cs="Times New Roman" w:hint="eastAsia"/>
        </w:rPr>
        <w:t>法律文件</w:t>
      </w:r>
      <w:r w:rsidR="00E02165" w:rsidRPr="00261438">
        <w:rPr>
          <w:rFonts w:ascii="Times New Roman" w:cs="Times New Roman" w:hint="eastAsia"/>
        </w:rPr>
        <w:t>修订</w:t>
      </w:r>
    </w:p>
    <w:p w14:paraId="4AC3871A" w14:textId="77777777" w:rsidR="00995287" w:rsidRPr="008342C0" w:rsidRDefault="00995287" w:rsidP="00261438">
      <w:pPr>
        <w:pStyle w:val="a8"/>
        <w:spacing w:before="0" w:beforeAutospacing="0" w:after="0" w:afterAutospacing="0" w:line="360" w:lineRule="auto"/>
        <w:ind w:firstLine="482"/>
        <w:rPr>
          <w:rFonts w:ascii="Times New Roman" w:cs="Times New Roman"/>
        </w:rPr>
      </w:pPr>
      <w:r w:rsidRPr="00261438">
        <w:rPr>
          <w:rFonts w:ascii="Times New Roman" w:cs="Times New Roman" w:hint="eastAsia"/>
        </w:rPr>
        <w:t>根据《</w:t>
      </w:r>
      <w:r w:rsidR="00851708" w:rsidRPr="00261438">
        <w:rPr>
          <w:rFonts w:ascii="Times New Roman" w:cs="Times New Roman" w:hint="eastAsia"/>
        </w:rPr>
        <w:t>关于易方达保本一号混合型证券投资基金第一个保本周期到期后转型有关事项的议案</w:t>
      </w:r>
      <w:r w:rsidRPr="00261438">
        <w:rPr>
          <w:rFonts w:ascii="Times New Roman" w:cs="Times New Roman" w:hint="eastAsia"/>
        </w:rPr>
        <w:t>》，经与基金托管人协商一致，基金管理人已将《易方达保本一号混合型证券投资基金基金合同》、《易方达保本一号混合型证券投资基金托管协议》修订为《易方达丰华债券型证券投资基金基金</w:t>
      </w:r>
      <w:r w:rsidRPr="008342C0">
        <w:rPr>
          <w:rFonts w:ascii="Times New Roman" w:cs="Times New Roman" w:hint="eastAsia"/>
        </w:rPr>
        <w:t>合同》、《易方达丰华债券型证券投资基金托管协议》，并据此拟定了《易方达丰华债券型证券投资基金招募说明书》。</w:t>
      </w:r>
    </w:p>
    <w:p w14:paraId="4A22D3E0" w14:textId="431DE394" w:rsidR="00EA489D" w:rsidRPr="008342C0" w:rsidRDefault="00995287" w:rsidP="008342C0">
      <w:pPr>
        <w:pStyle w:val="a8"/>
        <w:spacing w:before="0" w:beforeAutospacing="0" w:after="0" w:afterAutospacing="0" w:line="360" w:lineRule="auto"/>
        <w:ind w:firstLine="482"/>
        <w:rPr>
          <w:rFonts w:ascii="Times New Roman" w:cs="Times New Roman"/>
        </w:rPr>
      </w:pPr>
      <w:r w:rsidRPr="008342C0">
        <w:rPr>
          <w:rFonts w:ascii="Times New Roman" w:cs="Times New Roman" w:hint="eastAsia"/>
        </w:rPr>
        <w:t>上述文件已报中国证监会进行变更注册，修订和更新后的文件于</w:t>
      </w:r>
      <w:r w:rsidRPr="008342C0">
        <w:rPr>
          <w:rFonts w:ascii="Times New Roman" w:cs="Times New Roman" w:hint="eastAsia"/>
        </w:rPr>
        <w:t>2</w:t>
      </w:r>
      <w:r w:rsidRPr="008342C0">
        <w:rPr>
          <w:rFonts w:ascii="Times New Roman" w:cs="Times New Roman"/>
        </w:rPr>
        <w:t>019</w:t>
      </w:r>
      <w:r w:rsidRPr="008342C0">
        <w:rPr>
          <w:rFonts w:ascii="Times New Roman" w:cs="Times New Roman"/>
        </w:rPr>
        <w:t>年</w:t>
      </w:r>
      <w:r w:rsidR="00E542A1" w:rsidRPr="008342C0">
        <w:rPr>
          <w:rFonts w:ascii="Times New Roman" w:cs="Times New Roman"/>
        </w:rPr>
        <w:t>2</w:t>
      </w:r>
      <w:r w:rsidRPr="008342C0">
        <w:rPr>
          <w:rFonts w:ascii="Times New Roman" w:cs="Times New Roman"/>
        </w:rPr>
        <w:t>月</w:t>
      </w:r>
      <w:r w:rsidR="00774F53" w:rsidRPr="008342C0">
        <w:rPr>
          <w:rFonts w:ascii="Times New Roman" w:cs="Times New Roman"/>
        </w:rPr>
        <w:t>1</w:t>
      </w:r>
      <w:r w:rsidR="00E542A1" w:rsidRPr="008342C0">
        <w:rPr>
          <w:rFonts w:ascii="Times New Roman" w:cs="Times New Roman"/>
        </w:rPr>
        <w:t>9</w:t>
      </w:r>
      <w:r w:rsidRPr="008342C0">
        <w:rPr>
          <w:rFonts w:ascii="Times New Roman" w:cs="Times New Roman"/>
        </w:rPr>
        <w:t>日</w:t>
      </w:r>
      <w:r w:rsidRPr="008342C0">
        <w:rPr>
          <w:rFonts w:ascii="Times New Roman" w:cs="Times New Roman" w:hint="eastAsia"/>
        </w:rPr>
        <w:t>起生效。</w:t>
      </w:r>
    </w:p>
    <w:p w14:paraId="352713A3" w14:textId="77777777" w:rsidR="00E02165" w:rsidRPr="008342C0" w:rsidRDefault="00072B7A" w:rsidP="00012009">
      <w:pPr>
        <w:pStyle w:val="a8"/>
        <w:spacing w:before="0" w:beforeAutospacing="0" w:after="0" w:afterAutospacing="0" w:line="360" w:lineRule="auto"/>
        <w:ind w:firstLine="482"/>
        <w:rPr>
          <w:rFonts w:ascii="Times New Roman" w:cs="Times New Roman"/>
        </w:rPr>
      </w:pPr>
      <w:r w:rsidRPr="008342C0">
        <w:rPr>
          <w:rFonts w:ascii="Times New Roman" w:cs="Times New Roman" w:hint="eastAsia"/>
        </w:rPr>
        <w:t>（二）</w:t>
      </w:r>
      <w:r w:rsidR="00995287" w:rsidRPr="008342C0">
        <w:rPr>
          <w:rFonts w:ascii="Times New Roman" w:cs="Times New Roman" w:hint="eastAsia"/>
        </w:rPr>
        <w:t>转型</w:t>
      </w:r>
      <w:r w:rsidR="00995287" w:rsidRPr="008342C0">
        <w:rPr>
          <w:rFonts w:ascii="Times New Roman" w:cs="Times New Roman"/>
        </w:rPr>
        <w:t>方案</w:t>
      </w:r>
      <w:r w:rsidR="00995287" w:rsidRPr="008342C0">
        <w:rPr>
          <w:rFonts w:ascii="Times New Roman" w:cs="Times New Roman" w:hint="eastAsia"/>
        </w:rPr>
        <w:t>实施</w:t>
      </w:r>
      <w:r w:rsidR="00995287" w:rsidRPr="008342C0">
        <w:rPr>
          <w:rFonts w:ascii="Times New Roman" w:cs="Times New Roman"/>
        </w:rPr>
        <w:t>的安排</w:t>
      </w:r>
      <w:r w:rsidR="00E02165" w:rsidRPr="008342C0">
        <w:rPr>
          <w:rFonts w:ascii="Times New Roman" w:cs="Times New Roman"/>
        </w:rPr>
        <w:t xml:space="preserve"> </w:t>
      </w:r>
    </w:p>
    <w:p w14:paraId="37293732" w14:textId="09A18E79" w:rsidR="007613B7" w:rsidRDefault="00995287" w:rsidP="00D85463">
      <w:pPr>
        <w:pStyle w:val="a8"/>
        <w:spacing w:before="0" w:beforeAutospacing="0" w:after="0" w:afterAutospacing="0" w:line="360" w:lineRule="auto"/>
        <w:ind w:firstLine="482"/>
      </w:pPr>
      <w:r w:rsidRPr="008342C0">
        <w:rPr>
          <w:rFonts w:ascii="Times New Roman" w:cs="Times New Roman" w:hint="eastAsia"/>
        </w:rPr>
        <w:t>本次基金份额持有人大会决议实施日为</w:t>
      </w:r>
      <w:r w:rsidRPr="008342C0">
        <w:rPr>
          <w:rFonts w:ascii="Times New Roman" w:cs="Times New Roman" w:hint="eastAsia"/>
        </w:rPr>
        <w:t>201</w:t>
      </w:r>
      <w:r w:rsidRPr="008342C0">
        <w:rPr>
          <w:rFonts w:ascii="Times New Roman" w:cs="Times New Roman"/>
        </w:rPr>
        <w:t>9</w:t>
      </w:r>
      <w:r w:rsidRPr="008342C0">
        <w:rPr>
          <w:rFonts w:ascii="Times New Roman" w:cs="Times New Roman" w:hint="eastAsia"/>
        </w:rPr>
        <w:t>年</w:t>
      </w:r>
      <w:r w:rsidR="00E542A1" w:rsidRPr="008342C0">
        <w:rPr>
          <w:rFonts w:ascii="Times New Roman" w:cs="Times New Roman"/>
        </w:rPr>
        <w:t>2</w:t>
      </w:r>
      <w:r w:rsidRPr="008342C0">
        <w:rPr>
          <w:rFonts w:ascii="Times New Roman" w:cs="Times New Roman" w:hint="eastAsia"/>
        </w:rPr>
        <w:t>月</w:t>
      </w:r>
      <w:r w:rsidR="00774F53" w:rsidRPr="008342C0">
        <w:rPr>
          <w:rFonts w:ascii="Times New Roman" w:cs="Times New Roman" w:hint="eastAsia"/>
        </w:rPr>
        <w:t>1</w:t>
      </w:r>
      <w:r w:rsidR="00E542A1" w:rsidRPr="008342C0">
        <w:rPr>
          <w:rFonts w:ascii="Times New Roman" w:cs="Times New Roman" w:hint="eastAsia"/>
        </w:rPr>
        <w:t>9</w:t>
      </w:r>
      <w:r w:rsidRPr="008342C0">
        <w:rPr>
          <w:rFonts w:ascii="Times New Roman" w:cs="Times New Roman" w:hint="eastAsia"/>
        </w:rPr>
        <w:t>日。</w:t>
      </w:r>
      <w:r w:rsidR="007613B7" w:rsidRPr="008342C0">
        <w:rPr>
          <w:rFonts w:ascii="Times New Roman" w:cs="Times New Roman" w:hint="eastAsia"/>
        </w:rPr>
        <w:t>为更好的满足投资者的退出需求，保本一号在第一个保本周期结束后将不再设置到期操作</w:t>
      </w:r>
      <w:r w:rsidR="00FB410B" w:rsidRPr="008342C0">
        <w:rPr>
          <w:rFonts w:ascii="Times New Roman" w:cs="Times New Roman"/>
        </w:rPr>
        <w:t>期间</w:t>
      </w:r>
      <w:r w:rsidR="007613B7" w:rsidRPr="008342C0">
        <w:rPr>
          <w:rFonts w:ascii="Times New Roman" w:cs="Times New Roman" w:hint="eastAsia"/>
        </w:rPr>
        <w:t>，而是</w:t>
      </w:r>
      <w:r w:rsidR="00523AD9" w:rsidRPr="008342C0">
        <w:rPr>
          <w:rFonts w:ascii="Times New Roman" w:cs="Times New Roman" w:hint="eastAsia"/>
        </w:rPr>
        <w:t>设定</w:t>
      </w:r>
      <w:r w:rsidRPr="008342C0">
        <w:rPr>
          <w:rFonts w:ascii="Times New Roman" w:cs="Times New Roman" w:hint="eastAsia"/>
        </w:rPr>
        <w:t>自</w:t>
      </w:r>
      <w:r w:rsidRPr="008342C0">
        <w:rPr>
          <w:rFonts w:ascii="Times New Roman" w:cs="Times New Roman"/>
        </w:rPr>
        <w:t>2019</w:t>
      </w:r>
      <w:r w:rsidRPr="008342C0">
        <w:rPr>
          <w:rFonts w:ascii="Times New Roman" w:cs="Times New Roman"/>
        </w:rPr>
        <w:t>年</w:t>
      </w:r>
      <w:r w:rsidRPr="008342C0">
        <w:rPr>
          <w:rFonts w:ascii="Times New Roman" w:cs="Times New Roman"/>
        </w:rPr>
        <w:t>1</w:t>
      </w:r>
      <w:r w:rsidRPr="008342C0">
        <w:rPr>
          <w:rFonts w:ascii="Times New Roman" w:cs="Times New Roman"/>
        </w:rPr>
        <w:t>月</w:t>
      </w:r>
      <w:r w:rsidRPr="008342C0">
        <w:rPr>
          <w:rFonts w:ascii="Times New Roman" w:cs="Times New Roman" w:hint="eastAsia"/>
        </w:rPr>
        <w:t>1</w:t>
      </w:r>
      <w:r w:rsidR="00774F53" w:rsidRPr="008342C0">
        <w:rPr>
          <w:rFonts w:ascii="Times New Roman" w:cs="Times New Roman"/>
        </w:rPr>
        <w:t>4</w:t>
      </w:r>
      <w:r w:rsidRPr="008342C0">
        <w:rPr>
          <w:rFonts w:ascii="Times New Roman" w:cs="Times New Roman" w:hint="eastAsia"/>
        </w:rPr>
        <w:t>日</w:t>
      </w:r>
      <w:r w:rsidRPr="008342C0">
        <w:rPr>
          <w:rFonts w:ascii="Times New Roman" w:cs="Times New Roman"/>
        </w:rPr>
        <w:t>至</w:t>
      </w:r>
      <w:r w:rsidRPr="008342C0">
        <w:rPr>
          <w:rFonts w:ascii="Times New Roman" w:cs="Times New Roman"/>
        </w:rPr>
        <w:t>2019</w:t>
      </w:r>
      <w:r w:rsidRPr="008342C0">
        <w:rPr>
          <w:rFonts w:ascii="Times New Roman" w:cs="Times New Roman"/>
        </w:rPr>
        <w:t>年</w:t>
      </w:r>
      <w:r w:rsidRPr="008342C0">
        <w:rPr>
          <w:rFonts w:ascii="Times New Roman" w:cs="Times New Roman"/>
        </w:rPr>
        <w:t>2</w:t>
      </w:r>
      <w:r w:rsidRPr="008342C0">
        <w:rPr>
          <w:rFonts w:ascii="Times New Roman" w:cs="Times New Roman"/>
        </w:rPr>
        <w:t>月</w:t>
      </w:r>
      <w:r w:rsidR="00E542A1" w:rsidRPr="008342C0">
        <w:rPr>
          <w:rFonts w:ascii="Times New Roman" w:cs="Times New Roman"/>
        </w:rPr>
        <w:t>1</w:t>
      </w:r>
      <w:r w:rsidR="00774F53" w:rsidRPr="008342C0">
        <w:rPr>
          <w:rFonts w:ascii="Times New Roman" w:cs="Times New Roman"/>
        </w:rPr>
        <w:t>8</w:t>
      </w:r>
      <w:r w:rsidRPr="008342C0">
        <w:rPr>
          <w:rFonts w:ascii="Times New Roman" w:cs="Times New Roman"/>
        </w:rPr>
        <w:t>日</w:t>
      </w:r>
      <w:r w:rsidR="00D85463" w:rsidRPr="008342C0">
        <w:rPr>
          <w:rFonts w:ascii="Times New Roman" w:cs="Times New Roman" w:hint="eastAsia"/>
        </w:rPr>
        <w:t>为</w:t>
      </w:r>
      <w:r w:rsidR="00D85463" w:rsidRPr="008342C0">
        <w:rPr>
          <w:rFonts w:ascii="Times New Roman" w:cs="Times New Roman"/>
        </w:rPr>
        <w:t>投资者选择期，投资者在此期间可选择赎回</w:t>
      </w:r>
      <w:r w:rsidR="00523AD9" w:rsidRPr="008342C0">
        <w:rPr>
          <w:rFonts w:ascii="Times New Roman" w:cs="Times New Roman"/>
        </w:rPr>
        <w:t>或转换转出</w:t>
      </w:r>
      <w:r w:rsidR="00D85463" w:rsidRPr="008342C0">
        <w:rPr>
          <w:rFonts w:ascii="Times New Roman" w:cs="Times New Roman" w:hint="eastAsia"/>
        </w:rPr>
        <w:t>基金</w:t>
      </w:r>
      <w:r w:rsidR="00D85463" w:rsidRPr="008342C0">
        <w:rPr>
          <w:rFonts w:ascii="Times New Roman" w:cs="Times New Roman"/>
        </w:rPr>
        <w:t>份额。</w:t>
      </w:r>
      <w:r w:rsidR="007613B7" w:rsidRPr="008342C0">
        <w:rPr>
          <w:rFonts w:ascii="Times New Roman" w:cs="Times New Roman" w:hint="eastAsia"/>
        </w:rPr>
        <w:t>选择期结束后，投资者未赎回</w:t>
      </w:r>
      <w:r w:rsidR="00523AD9" w:rsidRPr="008342C0">
        <w:rPr>
          <w:rFonts w:ascii="Times New Roman" w:cs="Times New Roman"/>
        </w:rPr>
        <w:t>或转换转出</w:t>
      </w:r>
      <w:r w:rsidR="007613B7" w:rsidRPr="008342C0">
        <w:rPr>
          <w:rFonts w:ascii="Times New Roman" w:cs="Times New Roman" w:hint="eastAsia"/>
        </w:rPr>
        <w:t>的保本一号基金份额将转为丰华基金</w:t>
      </w:r>
      <w:r w:rsidR="007613B7" w:rsidRPr="008342C0">
        <w:rPr>
          <w:rFonts w:ascii="Times New Roman" w:cs="Times New Roman" w:hint="eastAsia"/>
        </w:rPr>
        <w:t>A</w:t>
      </w:r>
      <w:r w:rsidR="007613B7" w:rsidRPr="008342C0">
        <w:rPr>
          <w:rFonts w:ascii="Times New Roman" w:cs="Times New Roman" w:hint="eastAsia"/>
        </w:rPr>
        <w:t>类份额。自</w:t>
      </w:r>
      <w:r w:rsidR="00476620" w:rsidRPr="008342C0">
        <w:rPr>
          <w:rFonts w:ascii="Times New Roman" w:cs="Times New Roman" w:hint="eastAsia"/>
        </w:rPr>
        <w:t>201</w:t>
      </w:r>
      <w:r w:rsidR="00476620" w:rsidRPr="008342C0">
        <w:rPr>
          <w:rFonts w:ascii="Times New Roman" w:cs="Times New Roman"/>
        </w:rPr>
        <w:t>9</w:t>
      </w:r>
      <w:r w:rsidR="00476620" w:rsidRPr="008342C0">
        <w:rPr>
          <w:rFonts w:ascii="Times New Roman" w:cs="Times New Roman" w:hint="eastAsia"/>
        </w:rPr>
        <w:t>年</w:t>
      </w:r>
      <w:r w:rsidR="00E542A1" w:rsidRPr="008342C0">
        <w:rPr>
          <w:rFonts w:ascii="Times New Roman" w:cs="Times New Roman"/>
        </w:rPr>
        <w:t>2</w:t>
      </w:r>
      <w:r w:rsidR="00476620" w:rsidRPr="008342C0">
        <w:rPr>
          <w:rFonts w:ascii="Times New Roman" w:cs="Times New Roman" w:hint="eastAsia"/>
        </w:rPr>
        <w:t>月</w:t>
      </w:r>
      <w:r w:rsidR="00476620" w:rsidRPr="008342C0">
        <w:rPr>
          <w:rFonts w:ascii="Times New Roman" w:cs="Times New Roman" w:hint="eastAsia"/>
        </w:rPr>
        <w:t>1</w:t>
      </w:r>
      <w:r w:rsidR="00E542A1" w:rsidRPr="008342C0">
        <w:rPr>
          <w:rFonts w:ascii="Times New Roman" w:cs="Times New Roman" w:hint="eastAsia"/>
        </w:rPr>
        <w:t>9</w:t>
      </w:r>
      <w:r w:rsidR="00476620" w:rsidRPr="008342C0">
        <w:rPr>
          <w:rFonts w:ascii="Times New Roman" w:cs="Times New Roman" w:hint="eastAsia"/>
        </w:rPr>
        <w:t>日</w:t>
      </w:r>
      <w:r w:rsidR="007613B7" w:rsidRPr="008342C0">
        <w:rPr>
          <w:rFonts w:ascii="Times New Roman" w:cs="Times New Roman" w:hint="eastAsia"/>
        </w:rPr>
        <w:t>起，基金名称将由“易方达保本一号混合型证券投</w:t>
      </w:r>
      <w:r w:rsidR="007613B7" w:rsidRPr="007613B7">
        <w:rPr>
          <w:rFonts w:hint="eastAsia"/>
        </w:rPr>
        <w:t>资基金”更名为“易方达丰华债券型证券投资基金”，《易方达丰华债券型证券投资基金基金合同》生效，《易方达保本一号混合型证券投资基金基金合同》同日失效。</w:t>
      </w:r>
    </w:p>
    <w:p w14:paraId="433750FB" w14:textId="77777777" w:rsidR="00CC70EF" w:rsidRDefault="00CC70EF" w:rsidP="00D85463">
      <w:pPr>
        <w:pStyle w:val="a8"/>
        <w:spacing w:before="0" w:beforeAutospacing="0" w:after="0" w:afterAutospacing="0" w:line="360" w:lineRule="auto"/>
        <w:ind w:firstLine="482"/>
      </w:pPr>
      <w:r>
        <w:t>四、基金份额折算</w:t>
      </w:r>
    </w:p>
    <w:p w14:paraId="3C2A8287" w14:textId="52B3FAF1" w:rsidR="00CC70EF" w:rsidRPr="00107B2E" w:rsidRDefault="00CC70EF" w:rsidP="00261438">
      <w:pPr>
        <w:pStyle w:val="a8"/>
        <w:spacing w:before="0" w:beforeAutospacing="0" w:after="0" w:afterAutospacing="0" w:line="360" w:lineRule="auto"/>
        <w:ind w:firstLine="482"/>
      </w:pPr>
      <w:r w:rsidRPr="008342C0">
        <w:lastRenderedPageBreak/>
        <w:t>2019</w:t>
      </w:r>
      <w:r w:rsidRPr="008342C0">
        <w:rPr>
          <w:rFonts w:hint="eastAsia"/>
        </w:rPr>
        <w:t>年</w:t>
      </w:r>
      <w:r w:rsidRPr="008342C0">
        <w:t>2</w:t>
      </w:r>
      <w:r w:rsidRPr="008342C0">
        <w:rPr>
          <w:rFonts w:hint="eastAsia"/>
        </w:rPr>
        <w:t>月</w:t>
      </w:r>
      <w:r w:rsidR="00E542A1" w:rsidRPr="008342C0">
        <w:t>1</w:t>
      </w:r>
      <w:r w:rsidRPr="008342C0">
        <w:t>8</w:t>
      </w:r>
      <w:r w:rsidRPr="008342C0">
        <w:rPr>
          <w:rFonts w:hint="eastAsia"/>
        </w:rPr>
        <w:t>日</w:t>
      </w:r>
      <w:r w:rsidRPr="00CC70EF">
        <w:t>为基金份额折算日。在基金份额折算日，基金份额持有人所持有的基金份额</w:t>
      </w:r>
      <w:r w:rsidRPr="00107B2E">
        <w:t>所代表的资产净值总额保持不变的前提下，变更登记为基金份额净值为1.00</w:t>
      </w:r>
      <w:r w:rsidR="00523AD9">
        <w:t>0</w:t>
      </w:r>
      <w:r w:rsidRPr="00107B2E">
        <w:t>元的基金份额，基金份额数额按折算比例相应调整。</w:t>
      </w:r>
    </w:p>
    <w:p w14:paraId="45DE4A9C" w14:textId="280C99A3" w:rsidR="00CC70EF" w:rsidRPr="007C6B8D" w:rsidRDefault="009638F5" w:rsidP="00CC70EF">
      <w:pPr>
        <w:pStyle w:val="a8"/>
        <w:spacing w:before="0" w:beforeAutospacing="0" w:after="0" w:afterAutospacing="0" w:line="360" w:lineRule="auto"/>
        <w:ind w:firstLine="482"/>
        <w:rPr>
          <w:rFonts w:ascii="Times New Roman"/>
        </w:rPr>
      </w:pPr>
      <w:r w:rsidRPr="007C6B8D">
        <w:rPr>
          <w:rFonts w:ascii="Times New Roman" w:hint="eastAsia"/>
        </w:rPr>
        <w:t>基金份额折算，会使基金份额持有人的份额发生相应的调增或调减。如果发生相应的份额调增，调增所得的份额持有期限，与原份额保持一致。</w:t>
      </w:r>
    </w:p>
    <w:p w14:paraId="7BE12D24" w14:textId="77777777" w:rsidR="00107B2E" w:rsidRPr="00107B2E" w:rsidRDefault="00107B2E" w:rsidP="00261438">
      <w:pPr>
        <w:pStyle w:val="a8"/>
        <w:spacing w:before="0" w:beforeAutospacing="0" w:after="0" w:afterAutospacing="0" w:line="360" w:lineRule="auto"/>
        <w:ind w:firstLine="482"/>
      </w:pPr>
      <w:r>
        <w:t>五、</w:t>
      </w:r>
      <w:r w:rsidRPr="00353A07">
        <w:rPr>
          <w:rFonts w:hint="eastAsia"/>
        </w:rPr>
        <w:t>其他需要提示的事项</w:t>
      </w:r>
    </w:p>
    <w:p w14:paraId="088DC28E" w14:textId="157C527C" w:rsidR="00107B2E" w:rsidRDefault="00107B2E" w:rsidP="00261438">
      <w:pPr>
        <w:pStyle w:val="a8"/>
        <w:spacing w:before="0" w:beforeAutospacing="0" w:after="0" w:afterAutospacing="0" w:line="360" w:lineRule="auto"/>
        <w:ind w:firstLine="482"/>
      </w:pPr>
      <w:r>
        <w:t>1、</w:t>
      </w:r>
      <w:r w:rsidRPr="008342C0">
        <w:t>自</w:t>
      </w:r>
      <w:r w:rsidRPr="008342C0">
        <w:rPr>
          <w:rFonts w:hint="eastAsia"/>
        </w:rPr>
        <w:t>201</w:t>
      </w:r>
      <w:r w:rsidRPr="008342C0">
        <w:t>9</w:t>
      </w:r>
      <w:r w:rsidRPr="008342C0">
        <w:rPr>
          <w:rFonts w:hint="eastAsia"/>
        </w:rPr>
        <w:t>年</w:t>
      </w:r>
      <w:r w:rsidR="00E542A1" w:rsidRPr="008342C0">
        <w:t>2</w:t>
      </w:r>
      <w:r w:rsidRPr="008342C0">
        <w:rPr>
          <w:rFonts w:hint="eastAsia"/>
        </w:rPr>
        <w:t>月1</w:t>
      </w:r>
      <w:r w:rsidR="00E542A1" w:rsidRPr="008342C0">
        <w:rPr>
          <w:rFonts w:hint="eastAsia"/>
        </w:rPr>
        <w:t>9</w:t>
      </w:r>
      <w:r w:rsidRPr="008342C0">
        <w:rPr>
          <w:rFonts w:hint="eastAsia"/>
        </w:rPr>
        <w:t>日</w:t>
      </w:r>
      <w:r w:rsidRPr="008342C0">
        <w:t>起，</w:t>
      </w:r>
      <w:r w:rsidRPr="008342C0">
        <w:rPr>
          <w:rFonts w:hint="eastAsia"/>
        </w:rPr>
        <w:t>《易方达</w:t>
      </w:r>
      <w:r w:rsidRPr="007613B7">
        <w:rPr>
          <w:rFonts w:hint="eastAsia"/>
        </w:rPr>
        <w:t>丰华债券型证券投资基金基金合同》生效</w:t>
      </w:r>
      <w:r>
        <w:t>。</w:t>
      </w:r>
      <w:r w:rsidRPr="008342C0">
        <w:t>基金管理人可根据实际情况依法决定丰华基金开始办理申购的具体日期，基金管理人自</w:t>
      </w:r>
      <w:r w:rsidR="00A035D7">
        <w:rPr>
          <w:rFonts w:hint="eastAsia"/>
        </w:rPr>
        <w:t>《易方达丰华债券型证券投资基金</w:t>
      </w:r>
      <w:r w:rsidR="00A035D7" w:rsidRPr="008342C0">
        <w:rPr>
          <w:rFonts w:hint="eastAsia"/>
        </w:rPr>
        <w:t>基金合同》</w:t>
      </w:r>
      <w:r w:rsidRPr="008342C0">
        <w:t>生效之日起不超过3个月开始办理赎回。</w:t>
      </w:r>
      <w:r>
        <w:t>在确定申购开始与赎回开始时间后，基金管理人应在申购、赎回开放前依照《证券投资基金信息披露管理办法》的有关规定在指定媒介上公告申购与赎回的开始时间。</w:t>
      </w:r>
      <w:r w:rsidR="00A322EC" w:rsidRPr="008342C0">
        <w:t>丰华基金</w:t>
      </w:r>
      <w:r w:rsidR="00A322EC">
        <w:t>C</w:t>
      </w:r>
      <w:r w:rsidR="00A322EC">
        <w:rPr>
          <w:rFonts w:hint="eastAsia"/>
        </w:rPr>
        <w:t>类份额开放申购首日，按照当日</w:t>
      </w:r>
      <w:r w:rsidR="00A322EC" w:rsidRPr="008342C0">
        <w:t>丰华基金</w:t>
      </w:r>
      <w:r w:rsidR="00A322EC">
        <w:t>A</w:t>
      </w:r>
      <w:r w:rsidR="00A322EC">
        <w:rPr>
          <w:rFonts w:hint="eastAsia"/>
        </w:rPr>
        <w:t>类份额的基金份额净值确认申购份额。</w:t>
      </w:r>
    </w:p>
    <w:p w14:paraId="416D7A75" w14:textId="77777777" w:rsidR="00475579" w:rsidRDefault="00107B2E" w:rsidP="001950C8">
      <w:pPr>
        <w:pStyle w:val="a8"/>
        <w:spacing w:before="0" w:beforeAutospacing="0" w:after="0" w:afterAutospacing="0" w:line="360" w:lineRule="auto"/>
        <w:ind w:firstLine="482"/>
        <w:rPr>
          <w:rFonts w:ascii="Times New Roman" w:cs="Times New Roman"/>
          <w:bCs/>
        </w:rPr>
      </w:pPr>
      <w:r>
        <w:rPr>
          <w:rFonts w:hint="eastAsia"/>
        </w:rPr>
        <w:t>2、</w:t>
      </w:r>
      <w:r>
        <w:rPr>
          <w:rFonts w:asciiTheme="minorEastAsia" w:eastAsiaTheme="minorEastAsia" w:hAnsiTheme="minorEastAsia"/>
          <w:color w:val="000000"/>
        </w:rPr>
        <w:t>投资者可以通过拨打易方达基金管理有限公司客户服务热线40088-18088（免长途话费），或登陆网站http://www.efu</w:t>
      </w:r>
      <w:bookmarkStart w:id="0" w:name="_GoBack"/>
      <w:bookmarkEnd w:id="0"/>
      <w:r>
        <w:rPr>
          <w:rFonts w:asciiTheme="minorEastAsia" w:eastAsiaTheme="minorEastAsia" w:hAnsiTheme="minorEastAsia"/>
          <w:color w:val="000000"/>
        </w:rPr>
        <w:t>nds.com.cn了解相关情况。投资者也可以前往丰华基金有关销售机构进行咨询。丰华基金的销售机构详见本基金更新的招募说明书或相关公告。</w:t>
      </w:r>
    </w:p>
    <w:p w14:paraId="1FFFAF2D" w14:textId="77777777" w:rsidR="00583225" w:rsidRPr="00D9579B" w:rsidRDefault="00583225" w:rsidP="001950C8">
      <w:pPr>
        <w:pStyle w:val="a8"/>
        <w:spacing w:before="0" w:beforeAutospacing="0" w:after="0" w:afterAutospacing="0" w:line="360" w:lineRule="auto"/>
        <w:ind w:firstLine="482"/>
        <w:rPr>
          <w:rFonts w:ascii="Times New Roman" w:hAnsi="Times New Roman" w:cs="Times New Roman"/>
          <w:bCs/>
        </w:rPr>
      </w:pPr>
    </w:p>
    <w:p w14:paraId="2EF00E91" w14:textId="77777777" w:rsidR="007D098A" w:rsidRPr="00D9579B" w:rsidRDefault="007D098A" w:rsidP="001950C8">
      <w:pPr>
        <w:pStyle w:val="a8"/>
        <w:spacing w:before="0" w:beforeAutospacing="0" w:after="0" w:afterAutospacing="0" w:line="360" w:lineRule="auto"/>
        <w:ind w:firstLine="482"/>
        <w:rPr>
          <w:rFonts w:ascii="Times New Roman" w:cs="Times New Roman"/>
          <w:bCs/>
        </w:rPr>
      </w:pPr>
      <w:r w:rsidRPr="00D9579B">
        <w:rPr>
          <w:rFonts w:ascii="Times New Roman" w:cs="Times New Roman"/>
          <w:bCs/>
        </w:rPr>
        <w:t>特此公告</w:t>
      </w:r>
      <w:r w:rsidR="003F6512" w:rsidRPr="00D9579B">
        <w:rPr>
          <w:rFonts w:ascii="Times New Roman" w:cs="Times New Roman"/>
          <w:bCs/>
        </w:rPr>
        <w:t>。</w:t>
      </w:r>
    </w:p>
    <w:p w14:paraId="4A6B9383" w14:textId="77777777" w:rsidR="000E6185" w:rsidRPr="00D9579B" w:rsidRDefault="000E6185" w:rsidP="001950C8">
      <w:pPr>
        <w:pStyle w:val="a8"/>
        <w:spacing w:before="0" w:beforeAutospacing="0" w:after="0" w:afterAutospacing="0" w:line="360" w:lineRule="auto"/>
        <w:ind w:firstLine="482"/>
        <w:rPr>
          <w:rFonts w:ascii="Times New Roman" w:hAnsi="Times New Roman" w:cs="Times New Roman"/>
          <w:bCs/>
        </w:rPr>
      </w:pPr>
    </w:p>
    <w:p w14:paraId="1C06E355" w14:textId="77777777" w:rsidR="00821185" w:rsidRPr="00D9579B" w:rsidRDefault="007D098A" w:rsidP="000E6185">
      <w:pPr>
        <w:pStyle w:val="a8"/>
        <w:spacing w:before="0" w:beforeAutospacing="0" w:after="0" w:afterAutospacing="0" w:line="360" w:lineRule="auto"/>
        <w:ind w:firstLine="482"/>
        <w:jc w:val="right"/>
        <w:rPr>
          <w:rFonts w:ascii="Times New Roman" w:hAnsi="Times New Roman" w:cs="Times New Roman"/>
          <w:bCs/>
        </w:rPr>
      </w:pPr>
      <w:r w:rsidRPr="00D9579B">
        <w:rPr>
          <w:rFonts w:ascii="Times New Roman" w:hAnsi="Times New Roman" w:cs="Times New Roman"/>
          <w:bCs/>
        </w:rPr>
        <w:t xml:space="preserve">               </w:t>
      </w:r>
      <w:r w:rsidR="001950C8" w:rsidRPr="00D9579B">
        <w:rPr>
          <w:rFonts w:ascii="Times New Roman" w:hAnsi="Times New Roman" w:cs="Times New Roman"/>
          <w:bCs/>
        </w:rPr>
        <w:t xml:space="preserve">                        </w:t>
      </w:r>
      <w:r w:rsidR="00821185" w:rsidRPr="00D9579B">
        <w:rPr>
          <w:rFonts w:ascii="Times New Roman" w:cs="Times New Roman"/>
          <w:bCs/>
        </w:rPr>
        <w:t>易方达基金管理有限公司</w:t>
      </w:r>
    </w:p>
    <w:p w14:paraId="4F4BE615" w14:textId="55512E19" w:rsidR="006313E2" w:rsidRDefault="004A317B" w:rsidP="0045664B">
      <w:pPr>
        <w:pStyle w:val="a8"/>
        <w:wordWrap w:val="0"/>
        <w:spacing w:before="0" w:beforeAutospacing="0" w:after="0" w:afterAutospacing="0" w:line="360" w:lineRule="auto"/>
        <w:ind w:firstLine="482"/>
        <w:jc w:val="right"/>
        <w:rPr>
          <w:rFonts w:ascii="Times New Roman" w:cs="Times New Roman"/>
          <w:bCs/>
        </w:rPr>
      </w:pPr>
      <w:r w:rsidRPr="00D9579B">
        <w:rPr>
          <w:rFonts w:ascii="Times New Roman" w:hAnsi="Times New Roman" w:cs="Times New Roman"/>
          <w:bCs/>
        </w:rPr>
        <w:t xml:space="preserve">               </w:t>
      </w:r>
      <w:r w:rsidR="003D25D1" w:rsidRPr="00D9579B">
        <w:rPr>
          <w:rFonts w:ascii="Times New Roman" w:hAnsi="Times New Roman" w:cs="Times New Roman"/>
          <w:bCs/>
        </w:rPr>
        <w:t xml:space="preserve">                          </w:t>
      </w:r>
      <w:r w:rsidR="00E332F4" w:rsidRPr="00D9579B">
        <w:rPr>
          <w:rFonts w:ascii="Times New Roman" w:hAnsi="Times New Roman" w:cs="Times New Roman"/>
          <w:bCs/>
        </w:rPr>
        <w:t>201</w:t>
      </w:r>
      <w:r w:rsidR="00F20308">
        <w:rPr>
          <w:rFonts w:ascii="Times New Roman" w:hAnsi="Times New Roman" w:cs="Times New Roman"/>
          <w:bCs/>
        </w:rPr>
        <w:t>9</w:t>
      </w:r>
      <w:r w:rsidR="00786F69" w:rsidRPr="00D9579B">
        <w:rPr>
          <w:rFonts w:ascii="Times New Roman" w:cs="Times New Roman"/>
          <w:bCs/>
        </w:rPr>
        <w:t>年</w:t>
      </w:r>
      <w:r w:rsidR="004C34B5">
        <w:rPr>
          <w:rFonts w:ascii="Times New Roman" w:hAnsi="Times New Roman" w:cs="Times New Roman"/>
          <w:bCs/>
        </w:rPr>
        <w:t>1</w:t>
      </w:r>
      <w:r w:rsidR="00786F69" w:rsidRPr="00D9579B">
        <w:rPr>
          <w:rFonts w:ascii="Times New Roman" w:cs="Times New Roman"/>
          <w:bCs/>
        </w:rPr>
        <w:t>月</w:t>
      </w:r>
      <w:r w:rsidR="004C34B5">
        <w:rPr>
          <w:rFonts w:ascii="Times New Roman" w:hAnsi="Times New Roman" w:cs="Times New Roman"/>
          <w:bCs/>
        </w:rPr>
        <w:t>3</w:t>
      </w:r>
      <w:r w:rsidR="00786F69" w:rsidRPr="00D9579B">
        <w:rPr>
          <w:rFonts w:ascii="Times New Roman" w:cs="Times New Roman"/>
          <w:bCs/>
        </w:rPr>
        <w:t>日</w:t>
      </w:r>
    </w:p>
    <w:p w14:paraId="2DC681EE" w14:textId="77777777" w:rsidR="00AC191A" w:rsidRDefault="00AC191A" w:rsidP="00AC191A">
      <w:pPr>
        <w:pStyle w:val="a8"/>
        <w:spacing w:before="0" w:beforeAutospacing="0" w:after="0" w:afterAutospacing="0" w:line="360" w:lineRule="auto"/>
        <w:ind w:firstLine="482"/>
        <w:jc w:val="right"/>
        <w:rPr>
          <w:rFonts w:ascii="Times New Roman" w:cs="Times New Roman"/>
          <w:bCs/>
        </w:rPr>
      </w:pPr>
    </w:p>
    <w:p w14:paraId="33735A2F" w14:textId="77777777" w:rsidR="004A317B" w:rsidRPr="00573D4B" w:rsidRDefault="004A317B" w:rsidP="00AC191A">
      <w:pPr>
        <w:widowControl/>
        <w:jc w:val="left"/>
        <w:rPr>
          <w:bCs/>
        </w:rPr>
      </w:pPr>
    </w:p>
    <w:sectPr w:rsidR="004A317B" w:rsidRPr="00573D4B" w:rsidSect="00FD6593">
      <w:footerReference w:type="even" r:id="rId8"/>
      <w:footerReference w:type="default" r:id="rId9"/>
      <w:headerReference w:type="first" r:id="rId10"/>
      <w:pgSz w:w="11906" w:h="16838"/>
      <w:pgMar w:top="1440" w:right="1800" w:bottom="1440" w:left="1800" w:header="851" w:footer="992" w:gutter="0"/>
      <w:pgNumType w:start="0" w:chapStyle="1"/>
      <w:cols w:space="425"/>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94954C" w14:textId="77777777" w:rsidR="001B7812" w:rsidRDefault="001B7812">
      <w:r>
        <w:separator/>
      </w:r>
    </w:p>
  </w:endnote>
  <w:endnote w:type="continuationSeparator" w:id="0">
    <w:p w14:paraId="0C62EFFA" w14:textId="77777777" w:rsidR="001B7812" w:rsidRDefault="001B7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48D45" w14:textId="77777777" w:rsidR="00734A46" w:rsidRDefault="00351B38">
    <w:pPr>
      <w:pStyle w:val="a5"/>
      <w:framePr w:wrap="around" w:vAnchor="text" w:hAnchor="margin" w:xAlign="center" w:y="1"/>
      <w:rPr>
        <w:rStyle w:val="a6"/>
      </w:rPr>
    </w:pPr>
    <w:r>
      <w:rPr>
        <w:rStyle w:val="a6"/>
      </w:rPr>
      <w:fldChar w:fldCharType="begin"/>
    </w:r>
    <w:r w:rsidR="00734A46">
      <w:rPr>
        <w:rStyle w:val="a6"/>
      </w:rPr>
      <w:instrText xml:space="preserve">PAGE  </w:instrText>
    </w:r>
    <w:r>
      <w:rPr>
        <w:rStyle w:val="a6"/>
      </w:rPr>
      <w:fldChar w:fldCharType="end"/>
    </w:r>
  </w:p>
  <w:p w14:paraId="355C82EF" w14:textId="77777777" w:rsidR="00734A46" w:rsidRDefault="00734A46">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564576"/>
      <w:docPartObj>
        <w:docPartGallery w:val="Page Numbers (Bottom of Page)"/>
        <w:docPartUnique/>
      </w:docPartObj>
    </w:sdtPr>
    <w:sdtEndPr/>
    <w:sdtContent>
      <w:p w14:paraId="79C79ABE" w14:textId="14134CD0" w:rsidR="00734A46" w:rsidRDefault="00351B38" w:rsidP="00CB028A">
        <w:pPr>
          <w:pStyle w:val="a5"/>
          <w:jc w:val="center"/>
          <w:rPr>
            <w:rFonts w:hint="eastAsia"/>
          </w:rPr>
        </w:pPr>
        <w:r>
          <w:fldChar w:fldCharType="begin"/>
        </w:r>
        <w:r w:rsidR="00494027">
          <w:instrText xml:space="preserve"> PAGE   \* MERGEFORMAT </w:instrText>
        </w:r>
        <w:r>
          <w:fldChar w:fldCharType="separate"/>
        </w:r>
        <w:r w:rsidR="00CB028A" w:rsidRPr="00CB028A">
          <w:rPr>
            <w:noProof/>
            <w:lang w:val="zh-CN"/>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5F96E9" w14:textId="77777777" w:rsidR="001B7812" w:rsidRDefault="001B7812">
      <w:r>
        <w:separator/>
      </w:r>
    </w:p>
  </w:footnote>
  <w:footnote w:type="continuationSeparator" w:id="0">
    <w:p w14:paraId="2DC7957C" w14:textId="77777777" w:rsidR="001B7812" w:rsidRDefault="001B7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C830F" w14:textId="77777777" w:rsidR="00734A46" w:rsidRDefault="00734A46" w:rsidP="00FD6593">
    <w:pPr>
      <w:pStyle w:val="a4"/>
      <w:pBdr>
        <w:bottom w:val="none" w:sz="0" w:space="0"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DDB"/>
    <w:rsid w:val="0000238B"/>
    <w:rsid w:val="000067CE"/>
    <w:rsid w:val="00011BAE"/>
    <w:rsid w:val="00012009"/>
    <w:rsid w:val="00013239"/>
    <w:rsid w:val="00015C4A"/>
    <w:rsid w:val="00022A06"/>
    <w:rsid w:val="000311FF"/>
    <w:rsid w:val="000312AF"/>
    <w:rsid w:val="00036055"/>
    <w:rsid w:val="00064011"/>
    <w:rsid w:val="00072128"/>
    <w:rsid w:val="00072B7A"/>
    <w:rsid w:val="00074243"/>
    <w:rsid w:val="00076671"/>
    <w:rsid w:val="00076ACC"/>
    <w:rsid w:val="00077929"/>
    <w:rsid w:val="00081002"/>
    <w:rsid w:val="0008147E"/>
    <w:rsid w:val="000A0315"/>
    <w:rsid w:val="000A0EAA"/>
    <w:rsid w:val="000A5281"/>
    <w:rsid w:val="000B1B4D"/>
    <w:rsid w:val="000B2A9D"/>
    <w:rsid w:val="000C1DCF"/>
    <w:rsid w:val="000D25F4"/>
    <w:rsid w:val="000D2942"/>
    <w:rsid w:val="000D51D5"/>
    <w:rsid w:val="000E3C26"/>
    <w:rsid w:val="000E59DD"/>
    <w:rsid w:val="000E6185"/>
    <w:rsid w:val="000E7FD2"/>
    <w:rsid w:val="00100D6F"/>
    <w:rsid w:val="00103641"/>
    <w:rsid w:val="0010734E"/>
    <w:rsid w:val="00107B2E"/>
    <w:rsid w:val="00110274"/>
    <w:rsid w:val="0011590A"/>
    <w:rsid w:val="001162B7"/>
    <w:rsid w:val="0011642C"/>
    <w:rsid w:val="00120298"/>
    <w:rsid w:val="00125A25"/>
    <w:rsid w:val="00125B54"/>
    <w:rsid w:val="001311A9"/>
    <w:rsid w:val="00134743"/>
    <w:rsid w:val="001416A9"/>
    <w:rsid w:val="00141DCC"/>
    <w:rsid w:val="00144F29"/>
    <w:rsid w:val="001500E3"/>
    <w:rsid w:val="001569F4"/>
    <w:rsid w:val="00157DDC"/>
    <w:rsid w:val="00180D0D"/>
    <w:rsid w:val="00182831"/>
    <w:rsid w:val="0018398D"/>
    <w:rsid w:val="001846EC"/>
    <w:rsid w:val="00184FB6"/>
    <w:rsid w:val="001904F2"/>
    <w:rsid w:val="00191A12"/>
    <w:rsid w:val="001950C8"/>
    <w:rsid w:val="001951AF"/>
    <w:rsid w:val="00196692"/>
    <w:rsid w:val="001977B8"/>
    <w:rsid w:val="00197FB8"/>
    <w:rsid w:val="001A68D0"/>
    <w:rsid w:val="001B1E44"/>
    <w:rsid w:val="001B2B49"/>
    <w:rsid w:val="001B5923"/>
    <w:rsid w:val="001B6059"/>
    <w:rsid w:val="001B7812"/>
    <w:rsid w:val="001C111D"/>
    <w:rsid w:val="001C16ED"/>
    <w:rsid w:val="001D6B68"/>
    <w:rsid w:val="001E075B"/>
    <w:rsid w:val="001E0DDD"/>
    <w:rsid w:val="001E1BAF"/>
    <w:rsid w:val="001E3610"/>
    <w:rsid w:val="001E3DC0"/>
    <w:rsid w:val="00200665"/>
    <w:rsid w:val="002033F5"/>
    <w:rsid w:val="00212362"/>
    <w:rsid w:val="0021634C"/>
    <w:rsid w:val="00220F98"/>
    <w:rsid w:val="002229EF"/>
    <w:rsid w:val="0022697D"/>
    <w:rsid w:val="00232188"/>
    <w:rsid w:val="00232CB0"/>
    <w:rsid w:val="0023462D"/>
    <w:rsid w:val="0025484B"/>
    <w:rsid w:val="002579EA"/>
    <w:rsid w:val="00261438"/>
    <w:rsid w:val="00263604"/>
    <w:rsid w:val="00273352"/>
    <w:rsid w:val="002815CB"/>
    <w:rsid w:val="002819FE"/>
    <w:rsid w:val="00283674"/>
    <w:rsid w:val="0028399F"/>
    <w:rsid w:val="00287B41"/>
    <w:rsid w:val="00287F0C"/>
    <w:rsid w:val="0029191B"/>
    <w:rsid w:val="002C4238"/>
    <w:rsid w:val="002C5F31"/>
    <w:rsid w:val="002C7280"/>
    <w:rsid w:val="002D1BC1"/>
    <w:rsid w:val="002D1DBF"/>
    <w:rsid w:val="002E45E4"/>
    <w:rsid w:val="002F5E57"/>
    <w:rsid w:val="00303678"/>
    <w:rsid w:val="0031140E"/>
    <w:rsid w:val="00311865"/>
    <w:rsid w:val="00322EF3"/>
    <w:rsid w:val="00335074"/>
    <w:rsid w:val="00341F4E"/>
    <w:rsid w:val="00342D18"/>
    <w:rsid w:val="003465FC"/>
    <w:rsid w:val="003471DB"/>
    <w:rsid w:val="00350F10"/>
    <w:rsid w:val="00351B38"/>
    <w:rsid w:val="003664DB"/>
    <w:rsid w:val="00367683"/>
    <w:rsid w:val="003711ED"/>
    <w:rsid w:val="003732B1"/>
    <w:rsid w:val="00380C96"/>
    <w:rsid w:val="003864FB"/>
    <w:rsid w:val="003928D0"/>
    <w:rsid w:val="00394D07"/>
    <w:rsid w:val="003A2186"/>
    <w:rsid w:val="003A2D49"/>
    <w:rsid w:val="003B716C"/>
    <w:rsid w:val="003D05E0"/>
    <w:rsid w:val="003D25D1"/>
    <w:rsid w:val="003D5D08"/>
    <w:rsid w:val="003E1396"/>
    <w:rsid w:val="003E22BF"/>
    <w:rsid w:val="003E230C"/>
    <w:rsid w:val="003E5507"/>
    <w:rsid w:val="003E63E3"/>
    <w:rsid w:val="003F40B2"/>
    <w:rsid w:val="003F6512"/>
    <w:rsid w:val="00402323"/>
    <w:rsid w:val="00402F16"/>
    <w:rsid w:val="0040389D"/>
    <w:rsid w:val="00411619"/>
    <w:rsid w:val="004138F6"/>
    <w:rsid w:val="00414042"/>
    <w:rsid w:val="00424C58"/>
    <w:rsid w:val="004302D2"/>
    <w:rsid w:val="004341C6"/>
    <w:rsid w:val="00441985"/>
    <w:rsid w:val="00442E1C"/>
    <w:rsid w:val="0045664B"/>
    <w:rsid w:val="004569F1"/>
    <w:rsid w:val="00473558"/>
    <w:rsid w:val="00475579"/>
    <w:rsid w:val="00475617"/>
    <w:rsid w:val="00476620"/>
    <w:rsid w:val="00486588"/>
    <w:rsid w:val="00494027"/>
    <w:rsid w:val="004A0609"/>
    <w:rsid w:val="004A317B"/>
    <w:rsid w:val="004A4303"/>
    <w:rsid w:val="004B419C"/>
    <w:rsid w:val="004B45DC"/>
    <w:rsid w:val="004C34B5"/>
    <w:rsid w:val="004C6159"/>
    <w:rsid w:val="004C6268"/>
    <w:rsid w:val="004D3537"/>
    <w:rsid w:val="004D7A01"/>
    <w:rsid w:val="004E0FF4"/>
    <w:rsid w:val="004F4183"/>
    <w:rsid w:val="00502870"/>
    <w:rsid w:val="00504643"/>
    <w:rsid w:val="00513F54"/>
    <w:rsid w:val="00514388"/>
    <w:rsid w:val="00515A17"/>
    <w:rsid w:val="00517F7C"/>
    <w:rsid w:val="00522A0C"/>
    <w:rsid w:val="00523AD9"/>
    <w:rsid w:val="005244BC"/>
    <w:rsid w:val="0052752F"/>
    <w:rsid w:val="0053459D"/>
    <w:rsid w:val="005359E3"/>
    <w:rsid w:val="00545C2E"/>
    <w:rsid w:val="00546599"/>
    <w:rsid w:val="00550545"/>
    <w:rsid w:val="00560921"/>
    <w:rsid w:val="00563A25"/>
    <w:rsid w:val="00564BEA"/>
    <w:rsid w:val="00573102"/>
    <w:rsid w:val="00573D4B"/>
    <w:rsid w:val="00583225"/>
    <w:rsid w:val="00585B21"/>
    <w:rsid w:val="00591958"/>
    <w:rsid w:val="005A1483"/>
    <w:rsid w:val="005A7F3E"/>
    <w:rsid w:val="005C088F"/>
    <w:rsid w:val="005C4E50"/>
    <w:rsid w:val="005D0962"/>
    <w:rsid w:val="005D7A4D"/>
    <w:rsid w:val="005E5DC8"/>
    <w:rsid w:val="005F3756"/>
    <w:rsid w:val="006025B8"/>
    <w:rsid w:val="00602A17"/>
    <w:rsid w:val="00602E35"/>
    <w:rsid w:val="006058EE"/>
    <w:rsid w:val="006060E1"/>
    <w:rsid w:val="00610C1C"/>
    <w:rsid w:val="00617A59"/>
    <w:rsid w:val="00622796"/>
    <w:rsid w:val="00623CF4"/>
    <w:rsid w:val="00624682"/>
    <w:rsid w:val="00624DC6"/>
    <w:rsid w:val="006313E2"/>
    <w:rsid w:val="00631761"/>
    <w:rsid w:val="00634D17"/>
    <w:rsid w:val="00642E43"/>
    <w:rsid w:val="00645C88"/>
    <w:rsid w:val="006477EA"/>
    <w:rsid w:val="0065380B"/>
    <w:rsid w:val="00657680"/>
    <w:rsid w:val="00665527"/>
    <w:rsid w:val="00666DDD"/>
    <w:rsid w:val="00684543"/>
    <w:rsid w:val="0068459A"/>
    <w:rsid w:val="00684CE1"/>
    <w:rsid w:val="0068533C"/>
    <w:rsid w:val="006B02A4"/>
    <w:rsid w:val="006C3D71"/>
    <w:rsid w:val="006D1EA9"/>
    <w:rsid w:val="006E39FF"/>
    <w:rsid w:val="006E4A8E"/>
    <w:rsid w:val="006E77AB"/>
    <w:rsid w:val="006F1E7A"/>
    <w:rsid w:val="006F2B17"/>
    <w:rsid w:val="006F341A"/>
    <w:rsid w:val="00701E0A"/>
    <w:rsid w:val="00707AD7"/>
    <w:rsid w:val="00715773"/>
    <w:rsid w:val="00722E4D"/>
    <w:rsid w:val="00722F41"/>
    <w:rsid w:val="00731216"/>
    <w:rsid w:val="00734A46"/>
    <w:rsid w:val="007376B4"/>
    <w:rsid w:val="00750AEE"/>
    <w:rsid w:val="00753701"/>
    <w:rsid w:val="0075455C"/>
    <w:rsid w:val="007575A7"/>
    <w:rsid w:val="007613B7"/>
    <w:rsid w:val="0077141F"/>
    <w:rsid w:val="00774F53"/>
    <w:rsid w:val="007840E8"/>
    <w:rsid w:val="00786F69"/>
    <w:rsid w:val="007902CD"/>
    <w:rsid w:val="00792044"/>
    <w:rsid w:val="00794E7B"/>
    <w:rsid w:val="007A1EDB"/>
    <w:rsid w:val="007A2EB3"/>
    <w:rsid w:val="007C520D"/>
    <w:rsid w:val="007C6B8D"/>
    <w:rsid w:val="007C6F19"/>
    <w:rsid w:val="007C7E93"/>
    <w:rsid w:val="007D02DC"/>
    <w:rsid w:val="007D098A"/>
    <w:rsid w:val="007E5B18"/>
    <w:rsid w:val="007E77EF"/>
    <w:rsid w:val="007F5226"/>
    <w:rsid w:val="007F59CF"/>
    <w:rsid w:val="007F70F6"/>
    <w:rsid w:val="00810CCB"/>
    <w:rsid w:val="008138C8"/>
    <w:rsid w:val="00814DEF"/>
    <w:rsid w:val="008159CE"/>
    <w:rsid w:val="00816D7F"/>
    <w:rsid w:val="00820150"/>
    <w:rsid w:val="00821185"/>
    <w:rsid w:val="0082729E"/>
    <w:rsid w:val="00832D81"/>
    <w:rsid w:val="008342C0"/>
    <w:rsid w:val="008353C7"/>
    <w:rsid w:val="00851651"/>
    <w:rsid w:val="00851708"/>
    <w:rsid w:val="0085367A"/>
    <w:rsid w:val="00855D7D"/>
    <w:rsid w:val="00860610"/>
    <w:rsid w:val="00862D5E"/>
    <w:rsid w:val="008634C5"/>
    <w:rsid w:val="008652B7"/>
    <w:rsid w:val="00865A91"/>
    <w:rsid w:val="00867224"/>
    <w:rsid w:val="00867944"/>
    <w:rsid w:val="00867BCA"/>
    <w:rsid w:val="00871E43"/>
    <w:rsid w:val="0087402A"/>
    <w:rsid w:val="008A0C88"/>
    <w:rsid w:val="008A1015"/>
    <w:rsid w:val="008A2B7C"/>
    <w:rsid w:val="008A3061"/>
    <w:rsid w:val="008B0BAE"/>
    <w:rsid w:val="008B0C6E"/>
    <w:rsid w:val="008B7430"/>
    <w:rsid w:val="008C4DEF"/>
    <w:rsid w:val="008C7FE2"/>
    <w:rsid w:val="008D36F7"/>
    <w:rsid w:val="008D641D"/>
    <w:rsid w:val="008D7DF7"/>
    <w:rsid w:val="008D7E95"/>
    <w:rsid w:val="008E6D06"/>
    <w:rsid w:val="008E7F4D"/>
    <w:rsid w:val="008F0080"/>
    <w:rsid w:val="008F6739"/>
    <w:rsid w:val="008F6B75"/>
    <w:rsid w:val="0090288D"/>
    <w:rsid w:val="00904A41"/>
    <w:rsid w:val="009056A9"/>
    <w:rsid w:val="00916A56"/>
    <w:rsid w:val="00934163"/>
    <w:rsid w:val="009528AC"/>
    <w:rsid w:val="009529F2"/>
    <w:rsid w:val="0095636B"/>
    <w:rsid w:val="00957998"/>
    <w:rsid w:val="00957F08"/>
    <w:rsid w:val="009638F5"/>
    <w:rsid w:val="00965B5D"/>
    <w:rsid w:val="00970598"/>
    <w:rsid w:val="00971DB2"/>
    <w:rsid w:val="00973F83"/>
    <w:rsid w:val="009805E4"/>
    <w:rsid w:val="00982AE7"/>
    <w:rsid w:val="00985B98"/>
    <w:rsid w:val="00995287"/>
    <w:rsid w:val="00996FD4"/>
    <w:rsid w:val="009E592F"/>
    <w:rsid w:val="009E5A86"/>
    <w:rsid w:val="009E5DDB"/>
    <w:rsid w:val="009F0DF4"/>
    <w:rsid w:val="009F28FB"/>
    <w:rsid w:val="00A035D7"/>
    <w:rsid w:val="00A125C9"/>
    <w:rsid w:val="00A23B51"/>
    <w:rsid w:val="00A271C4"/>
    <w:rsid w:val="00A322EC"/>
    <w:rsid w:val="00A35A5C"/>
    <w:rsid w:val="00A414A0"/>
    <w:rsid w:val="00A445C7"/>
    <w:rsid w:val="00A52A7A"/>
    <w:rsid w:val="00A72719"/>
    <w:rsid w:val="00A72922"/>
    <w:rsid w:val="00A73420"/>
    <w:rsid w:val="00A8685D"/>
    <w:rsid w:val="00A90AAA"/>
    <w:rsid w:val="00A914DF"/>
    <w:rsid w:val="00A9174D"/>
    <w:rsid w:val="00A92939"/>
    <w:rsid w:val="00A9681D"/>
    <w:rsid w:val="00AA0477"/>
    <w:rsid w:val="00AA42D8"/>
    <w:rsid w:val="00AA791C"/>
    <w:rsid w:val="00AB58D3"/>
    <w:rsid w:val="00AC191A"/>
    <w:rsid w:val="00AC1DDA"/>
    <w:rsid w:val="00AC3BFF"/>
    <w:rsid w:val="00AC4CD8"/>
    <w:rsid w:val="00AC7CAC"/>
    <w:rsid w:val="00AC7DDA"/>
    <w:rsid w:val="00AD04FD"/>
    <w:rsid w:val="00AD2B8D"/>
    <w:rsid w:val="00AE39C2"/>
    <w:rsid w:val="00AE4617"/>
    <w:rsid w:val="00AE59E1"/>
    <w:rsid w:val="00AF0603"/>
    <w:rsid w:val="00AF1800"/>
    <w:rsid w:val="00AF19F1"/>
    <w:rsid w:val="00AF77D3"/>
    <w:rsid w:val="00B0511A"/>
    <w:rsid w:val="00B06B75"/>
    <w:rsid w:val="00B10325"/>
    <w:rsid w:val="00B1298E"/>
    <w:rsid w:val="00B15CF2"/>
    <w:rsid w:val="00B2150C"/>
    <w:rsid w:val="00B229B7"/>
    <w:rsid w:val="00B435B6"/>
    <w:rsid w:val="00B45D0B"/>
    <w:rsid w:val="00B466D4"/>
    <w:rsid w:val="00B5108E"/>
    <w:rsid w:val="00B511D2"/>
    <w:rsid w:val="00B514F5"/>
    <w:rsid w:val="00B611D2"/>
    <w:rsid w:val="00B65D29"/>
    <w:rsid w:val="00B84AD6"/>
    <w:rsid w:val="00B84B03"/>
    <w:rsid w:val="00B87E28"/>
    <w:rsid w:val="00B95F4E"/>
    <w:rsid w:val="00B9615A"/>
    <w:rsid w:val="00BA06C2"/>
    <w:rsid w:val="00BA7803"/>
    <w:rsid w:val="00BB04C1"/>
    <w:rsid w:val="00BB2471"/>
    <w:rsid w:val="00BB36CB"/>
    <w:rsid w:val="00BB4E8E"/>
    <w:rsid w:val="00BD2C71"/>
    <w:rsid w:val="00BD4EE9"/>
    <w:rsid w:val="00BE563E"/>
    <w:rsid w:val="00BE76B2"/>
    <w:rsid w:val="00BF1DAC"/>
    <w:rsid w:val="00C12E6E"/>
    <w:rsid w:val="00C133EF"/>
    <w:rsid w:val="00C17F5A"/>
    <w:rsid w:val="00C36328"/>
    <w:rsid w:val="00C51FF0"/>
    <w:rsid w:val="00C52AA1"/>
    <w:rsid w:val="00C546F0"/>
    <w:rsid w:val="00C736BA"/>
    <w:rsid w:val="00C75E3E"/>
    <w:rsid w:val="00C76086"/>
    <w:rsid w:val="00C77E7C"/>
    <w:rsid w:val="00C81AD0"/>
    <w:rsid w:val="00C82F51"/>
    <w:rsid w:val="00C87C58"/>
    <w:rsid w:val="00C94E51"/>
    <w:rsid w:val="00CB028A"/>
    <w:rsid w:val="00CC4FA0"/>
    <w:rsid w:val="00CC6041"/>
    <w:rsid w:val="00CC70EF"/>
    <w:rsid w:val="00CD3DF2"/>
    <w:rsid w:val="00CD4610"/>
    <w:rsid w:val="00CE2321"/>
    <w:rsid w:val="00CE504C"/>
    <w:rsid w:val="00CE69A9"/>
    <w:rsid w:val="00CF1895"/>
    <w:rsid w:val="00CF4DB9"/>
    <w:rsid w:val="00CF79DA"/>
    <w:rsid w:val="00D054D5"/>
    <w:rsid w:val="00D059A1"/>
    <w:rsid w:val="00D10459"/>
    <w:rsid w:val="00D17A1A"/>
    <w:rsid w:val="00D2303A"/>
    <w:rsid w:val="00D462CC"/>
    <w:rsid w:val="00D67FDC"/>
    <w:rsid w:val="00D715EF"/>
    <w:rsid w:val="00D725DC"/>
    <w:rsid w:val="00D744DA"/>
    <w:rsid w:val="00D7568A"/>
    <w:rsid w:val="00D75D35"/>
    <w:rsid w:val="00D7780C"/>
    <w:rsid w:val="00D82A14"/>
    <w:rsid w:val="00D85463"/>
    <w:rsid w:val="00D90B94"/>
    <w:rsid w:val="00D9579B"/>
    <w:rsid w:val="00D96387"/>
    <w:rsid w:val="00DA0B0D"/>
    <w:rsid w:val="00DA2A0A"/>
    <w:rsid w:val="00DB1FBF"/>
    <w:rsid w:val="00DB2EBD"/>
    <w:rsid w:val="00DC1A10"/>
    <w:rsid w:val="00DC5585"/>
    <w:rsid w:val="00DC6C05"/>
    <w:rsid w:val="00DD42BB"/>
    <w:rsid w:val="00DD57D5"/>
    <w:rsid w:val="00DD74E6"/>
    <w:rsid w:val="00DE69D2"/>
    <w:rsid w:val="00DE7784"/>
    <w:rsid w:val="00DF03B5"/>
    <w:rsid w:val="00E00E22"/>
    <w:rsid w:val="00E02165"/>
    <w:rsid w:val="00E03F8D"/>
    <w:rsid w:val="00E0498D"/>
    <w:rsid w:val="00E05809"/>
    <w:rsid w:val="00E109EF"/>
    <w:rsid w:val="00E13C6F"/>
    <w:rsid w:val="00E16DA7"/>
    <w:rsid w:val="00E16ED2"/>
    <w:rsid w:val="00E332F4"/>
    <w:rsid w:val="00E3591C"/>
    <w:rsid w:val="00E373BD"/>
    <w:rsid w:val="00E40E2D"/>
    <w:rsid w:val="00E42A2C"/>
    <w:rsid w:val="00E471DC"/>
    <w:rsid w:val="00E505AF"/>
    <w:rsid w:val="00E50C62"/>
    <w:rsid w:val="00E542A1"/>
    <w:rsid w:val="00E547A5"/>
    <w:rsid w:val="00E56048"/>
    <w:rsid w:val="00E5654E"/>
    <w:rsid w:val="00E57BCB"/>
    <w:rsid w:val="00E6091A"/>
    <w:rsid w:val="00E66414"/>
    <w:rsid w:val="00E725E9"/>
    <w:rsid w:val="00E85CEE"/>
    <w:rsid w:val="00E866CD"/>
    <w:rsid w:val="00E869F5"/>
    <w:rsid w:val="00E86F11"/>
    <w:rsid w:val="00EA1F8C"/>
    <w:rsid w:val="00EA26BB"/>
    <w:rsid w:val="00EA27BF"/>
    <w:rsid w:val="00EA489D"/>
    <w:rsid w:val="00EA5CD4"/>
    <w:rsid w:val="00EA6CE5"/>
    <w:rsid w:val="00EB6B5B"/>
    <w:rsid w:val="00EC06E2"/>
    <w:rsid w:val="00ED1803"/>
    <w:rsid w:val="00ED4604"/>
    <w:rsid w:val="00EE6892"/>
    <w:rsid w:val="00EF4D0C"/>
    <w:rsid w:val="00EF7047"/>
    <w:rsid w:val="00F166DA"/>
    <w:rsid w:val="00F168FC"/>
    <w:rsid w:val="00F16E01"/>
    <w:rsid w:val="00F20308"/>
    <w:rsid w:val="00F24EE7"/>
    <w:rsid w:val="00F26A52"/>
    <w:rsid w:val="00F32201"/>
    <w:rsid w:val="00F34C3B"/>
    <w:rsid w:val="00F350B6"/>
    <w:rsid w:val="00F373FF"/>
    <w:rsid w:val="00F42FBD"/>
    <w:rsid w:val="00F44AB9"/>
    <w:rsid w:val="00F5369A"/>
    <w:rsid w:val="00F720B2"/>
    <w:rsid w:val="00F72D85"/>
    <w:rsid w:val="00F7597A"/>
    <w:rsid w:val="00F76806"/>
    <w:rsid w:val="00F84D08"/>
    <w:rsid w:val="00F875E4"/>
    <w:rsid w:val="00F902CF"/>
    <w:rsid w:val="00F96DE6"/>
    <w:rsid w:val="00F97C68"/>
    <w:rsid w:val="00FA016F"/>
    <w:rsid w:val="00FA1809"/>
    <w:rsid w:val="00FB410B"/>
    <w:rsid w:val="00FB640A"/>
    <w:rsid w:val="00FC230D"/>
    <w:rsid w:val="00FD0B01"/>
    <w:rsid w:val="00FD4C06"/>
    <w:rsid w:val="00FD6593"/>
    <w:rsid w:val="00FE3EF2"/>
    <w:rsid w:val="00FE77C0"/>
    <w:rsid w:val="00FF0462"/>
    <w:rsid w:val="00FF04D3"/>
    <w:rsid w:val="00FF3534"/>
    <w:rsid w:val="00FF7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D67D18"/>
  <w15:docId w15:val="{A511EB91-72FD-46AD-A2ED-8022BE34A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303A"/>
    <w:pPr>
      <w:widowControl w:val="0"/>
      <w:jc w:val="both"/>
    </w:pPr>
    <w:rPr>
      <w:kern w:val="2"/>
      <w:sz w:val="21"/>
      <w:szCs w:val="24"/>
    </w:rPr>
  </w:style>
  <w:style w:type="paragraph" w:styleId="3">
    <w:name w:val="heading 3"/>
    <w:basedOn w:val="a"/>
    <w:next w:val="a"/>
    <w:link w:val="3Char"/>
    <w:uiPriority w:val="99"/>
    <w:qFormat/>
    <w:rsid w:val="00107B2E"/>
    <w:pPr>
      <w:keepNext/>
      <w:keepLines/>
      <w:spacing w:before="260" w:after="260" w:line="416" w:lineRule="auto"/>
      <w:outlineLvl w:val="2"/>
    </w:pPr>
    <w:rPr>
      <w:b/>
      <w:bCs/>
      <w:sz w:val="32"/>
      <w:szCs w:val="32"/>
    </w:rPr>
  </w:style>
  <w:style w:type="paragraph" w:styleId="6">
    <w:name w:val="heading 6"/>
    <w:basedOn w:val="a"/>
    <w:next w:val="a"/>
    <w:link w:val="6Char"/>
    <w:semiHidden/>
    <w:unhideWhenUsed/>
    <w:qFormat/>
    <w:rsid w:val="006B02A4"/>
    <w:pPr>
      <w:keepNext/>
      <w:keepLines/>
      <w:spacing w:before="240" w:after="64" w:line="319" w:lineRule="auto"/>
      <w:outlineLvl w:val="5"/>
    </w:pPr>
    <w:rPr>
      <w:rFonts w:ascii="Arial" w:eastAsia="黑体" w:hAnsi="Arial"/>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2303A"/>
    <w:pPr>
      <w:ind w:firstLineChars="239" w:firstLine="669"/>
    </w:pPr>
    <w:rPr>
      <w:sz w:val="28"/>
    </w:rPr>
  </w:style>
  <w:style w:type="paragraph" w:styleId="a4">
    <w:name w:val="header"/>
    <w:basedOn w:val="a"/>
    <w:rsid w:val="00D2303A"/>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
    <w:uiPriority w:val="99"/>
    <w:rsid w:val="00D2303A"/>
    <w:pPr>
      <w:tabs>
        <w:tab w:val="center" w:pos="4153"/>
        <w:tab w:val="right" w:pos="8306"/>
      </w:tabs>
      <w:snapToGrid w:val="0"/>
      <w:jc w:val="left"/>
    </w:pPr>
    <w:rPr>
      <w:sz w:val="18"/>
      <w:szCs w:val="18"/>
    </w:rPr>
  </w:style>
  <w:style w:type="character" w:styleId="a6">
    <w:name w:val="page number"/>
    <w:basedOn w:val="a0"/>
    <w:rsid w:val="00D2303A"/>
  </w:style>
  <w:style w:type="paragraph" w:styleId="a7">
    <w:name w:val="Balloon Text"/>
    <w:basedOn w:val="a"/>
    <w:semiHidden/>
    <w:rsid w:val="00D2303A"/>
    <w:rPr>
      <w:sz w:val="18"/>
      <w:szCs w:val="18"/>
    </w:rPr>
  </w:style>
  <w:style w:type="paragraph" w:styleId="a8">
    <w:name w:val="Normal (Web)"/>
    <w:basedOn w:val="a"/>
    <w:rsid w:val="0023462D"/>
    <w:pPr>
      <w:widowControl/>
      <w:spacing w:before="100" w:beforeAutospacing="1" w:after="100" w:afterAutospacing="1"/>
      <w:jc w:val="left"/>
    </w:pPr>
    <w:rPr>
      <w:rFonts w:ascii="宋体" w:hAnsi="宋体" w:cs="宋体"/>
      <w:kern w:val="0"/>
      <w:sz w:val="24"/>
    </w:rPr>
  </w:style>
  <w:style w:type="paragraph" w:styleId="HTML">
    <w:name w:val="HTML Preformatted"/>
    <w:basedOn w:val="a"/>
    <w:rsid w:val="00D778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9">
    <w:name w:val="Document Map"/>
    <w:basedOn w:val="a"/>
    <w:link w:val="Char0"/>
    <w:rsid w:val="00657680"/>
    <w:rPr>
      <w:rFonts w:ascii="宋体"/>
      <w:sz w:val="18"/>
      <w:szCs w:val="18"/>
    </w:rPr>
  </w:style>
  <w:style w:type="character" w:customStyle="1" w:styleId="Char0">
    <w:name w:val="文档结构图 Char"/>
    <w:basedOn w:val="a0"/>
    <w:link w:val="a9"/>
    <w:rsid w:val="00657680"/>
    <w:rPr>
      <w:rFonts w:ascii="宋体"/>
      <w:kern w:val="2"/>
      <w:sz w:val="18"/>
      <w:szCs w:val="18"/>
    </w:rPr>
  </w:style>
  <w:style w:type="character" w:customStyle="1" w:styleId="Char">
    <w:name w:val="页脚 Char"/>
    <w:basedOn w:val="a0"/>
    <w:link w:val="a5"/>
    <w:uiPriority w:val="99"/>
    <w:rsid w:val="00494027"/>
    <w:rPr>
      <w:kern w:val="2"/>
      <w:sz w:val="18"/>
      <w:szCs w:val="18"/>
    </w:rPr>
  </w:style>
  <w:style w:type="character" w:styleId="aa">
    <w:name w:val="annotation reference"/>
    <w:basedOn w:val="a0"/>
    <w:rsid w:val="00867944"/>
    <w:rPr>
      <w:sz w:val="21"/>
      <w:szCs w:val="21"/>
    </w:rPr>
  </w:style>
  <w:style w:type="paragraph" w:styleId="ab">
    <w:name w:val="annotation text"/>
    <w:basedOn w:val="a"/>
    <w:link w:val="Char1"/>
    <w:rsid w:val="00867944"/>
    <w:pPr>
      <w:jc w:val="left"/>
    </w:pPr>
  </w:style>
  <w:style w:type="character" w:customStyle="1" w:styleId="Char1">
    <w:name w:val="批注文字 Char"/>
    <w:basedOn w:val="a0"/>
    <w:link w:val="ab"/>
    <w:rsid w:val="00867944"/>
    <w:rPr>
      <w:kern w:val="2"/>
      <w:sz w:val="21"/>
      <w:szCs w:val="24"/>
    </w:rPr>
  </w:style>
  <w:style w:type="paragraph" w:styleId="ac">
    <w:name w:val="annotation subject"/>
    <w:basedOn w:val="ab"/>
    <w:next w:val="ab"/>
    <w:link w:val="Char2"/>
    <w:rsid w:val="00867944"/>
    <w:rPr>
      <w:b/>
      <w:bCs/>
    </w:rPr>
  </w:style>
  <w:style w:type="character" w:customStyle="1" w:styleId="Char2">
    <w:name w:val="批注主题 Char"/>
    <w:basedOn w:val="Char1"/>
    <w:link w:val="ac"/>
    <w:rsid w:val="00867944"/>
    <w:rPr>
      <w:b/>
      <w:bCs/>
      <w:kern w:val="2"/>
      <w:sz w:val="21"/>
      <w:szCs w:val="24"/>
    </w:rPr>
  </w:style>
  <w:style w:type="paragraph" w:styleId="ad">
    <w:name w:val="Date"/>
    <w:basedOn w:val="a"/>
    <w:next w:val="a"/>
    <w:link w:val="Char3"/>
    <w:rsid w:val="00AC191A"/>
    <w:pPr>
      <w:ind w:leftChars="2500" w:left="100"/>
    </w:pPr>
  </w:style>
  <w:style w:type="character" w:customStyle="1" w:styleId="Char3">
    <w:name w:val="日期 Char"/>
    <w:basedOn w:val="a0"/>
    <w:link w:val="ad"/>
    <w:rsid w:val="00AC191A"/>
    <w:rPr>
      <w:kern w:val="2"/>
      <w:sz w:val="21"/>
      <w:szCs w:val="24"/>
    </w:rPr>
  </w:style>
  <w:style w:type="paragraph" w:styleId="ae">
    <w:name w:val="Revision"/>
    <w:hidden/>
    <w:uiPriority w:val="99"/>
    <w:semiHidden/>
    <w:rsid w:val="00F373FF"/>
    <w:rPr>
      <w:kern w:val="2"/>
      <w:sz w:val="21"/>
      <w:szCs w:val="24"/>
    </w:rPr>
  </w:style>
  <w:style w:type="character" w:customStyle="1" w:styleId="6Char">
    <w:name w:val="标题 6 Char"/>
    <w:basedOn w:val="a0"/>
    <w:link w:val="6"/>
    <w:semiHidden/>
    <w:rsid w:val="006B02A4"/>
    <w:rPr>
      <w:rFonts w:ascii="Arial" w:eastAsia="黑体" w:hAnsi="Arial"/>
      <w:b/>
      <w:kern w:val="2"/>
      <w:sz w:val="24"/>
    </w:rPr>
  </w:style>
  <w:style w:type="paragraph" w:customStyle="1" w:styleId="Default">
    <w:name w:val="Default"/>
    <w:qFormat/>
    <w:rsid w:val="00FC230D"/>
    <w:pPr>
      <w:widowControl w:val="0"/>
      <w:autoSpaceDE w:val="0"/>
      <w:autoSpaceDN w:val="0"/>
      <w:adjustRightInd w:val="0"/>
    </w:pPr>
    <w:rPr>
      <w:rFonts w:ascii="宋体" w:hAnsiTheme="minorHAnsi" w:cs="宋体"/>
      <w:color w:val="000000"/>
      <w:sz w:val="24"/>
      <w:szCs w:val="24"/>
    </w:rPr>
  </w:style>
  <w:style w:type="paragraph" w:customStyle="1" w:styleId="ParaCharCharCharCharCharCharCharCharCharCharCharCharCharCharCharCharCharCharCharCharCharCharCharChar">
    <w:name w:val="默认段落字体 Para Char Char Char Char Char Char Char Char Char Char Char Char Char Char Char Char Char Char Char Char Char Char Char Char"/>
    <w:basedOn w:val="a"/>
    <w:rsid w:val="00CC70EF"/>
    <w:pPr>
      <w:tabs>
        <w:tab w:val="left" w:pos="840"/>
      </w:tabs>
      <w:ind w:left="840" w:hanging="360"/>
    </w:pPr>
    <w:rPr>
      <w:szCs w:val="20"/>
    </w:rPr>
  </w:style>
  <w:style w:type="character" w:customStyle="1" w:styleId="3Char">
    <w:name w:val="标题 3 Char"/>
    <w:basedOn w:val="a0"/>
    <w:link w:val="3"/>
    <w:uiPriority w:val="99"/>
    <w:rsid w:val="00107B2E"/>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437858">
      <w:bodyDiv w:val="1"/>
      <w:marLeft w:val="0"/>
      <w:marRight w:val="0"/>
      <w:marTop w:val="0"/>
      <w:marBottom w:val="0"/>
      <w:divBdr>
        <w:top w:val="none" w:sz="0" w:space="0" w:color="auto"/>
        <w:left w:val="none" w:sz="0" w:space="0" w:color="auto"/>
        <w:bottom w:val="none" w:sz="0" w:space="0" w:color="auto"/>
        <w:right w:val="none" w:sz="0" w:space="0" w:color="auto"/>
      </w:divBdr>
    </w:div>
    <w:div w:id="207574789">
      <w:bodyDiv w:val="1"/>
      <w:marLeft w:val="0"/>
      <w:marRight w:val="0"/>
      <w:marTop w:val="0"/>
      <w:marBottom w:val="0"/>
      <w:divBdr>
        <w:top w:val="none" w:sz="0" w:space="0" w:color="auto"/>
        <w:left w:val="none" w:sz="0" w:space="0" w:color="auto"/>
        <w:bottom w:val="none" w:sz="0" w:space="0" w:color="auto"/>
        <w:right w:val="none" w:sz="0" w:space="0" w:color="auto"/>
      </w:divBdr>
    </w:div>
    <w:div w:id="278731826">
      <w:bodyDiv w:val="1"/>
      <w:marLeft w:val="0"/>
      <w:marRight w:val="0"/>
      <w:marTop w:val="0"/>
      <w:marBottom w:val="0"/>
      <w:divBdr>
        <w:top w:val="none" w:sz="0" w:space="0" w:color="auto"/>
        <w:left w:val="none" w:sz="0" w:space="0" w:color="auto"/>
        <w:bottom w:val="none" w:sz="0" w:space="0" w:color="auto"/>
        <w:right w:val="none" w:sz="0" w:space="0" w:color="auto"/>
      </w:divBdr>
    </w:div>
    <w:div w:id="640698207">
      <w:bodyDiv w:val="1"/>
      <w:marLeft w:val="0"/>
      <w:marRight w:val="0"/>
      <w:marTop w:val="0"/>
      <w:marBottom w:val="0"/>
      <w:divBdr>
        <w:top w:val="none" w:sz="0" w:space="0" w:color="auto"/>
        <w:left w:val="none" w:sz="0" w:space="0" w:color="auto"/>
        <w:bottom w:val="none" w:sz="0" w:space="0" w:color="auto"/>
        <w:right w:val="none" w:sz="0" w:space="0" w:color="auto"/>
      </w:divBdr>
    </w:div>
    <w:div w:id="916327030">
      <w:bodyDiv w:val="1"/>
      <w:marLeft w:val="0"/>
      <w:marRight w:val="0"/>
      <w:marTop w:val="0"/>
      <w:marBottom w:val="0"/>
      <w:divBdr>
        <w:top w:val="none" w:sz="0" w:space="0" w:color="auto"/>
        <w:left w:val="none" w:sz="0" w:space="0" w:color="auto"/>
        <w:bottom w:val="none" w:sz="0" w:space="0" w:color="auto"/>
        <w:right w:val="none" w:sz="0" w:space="0" w:color="auto"/>
      </w:divBdr>
    </w:div>
    <w:div w:id="1241989634">
      <w:bodyDiv w:val="1"/>
      <w:marLeft w:val="0"/>
      <w:marRight w:val="0"/>
      <w:marTop w:val="0"/>
      <w:marBottom w:val="0"/>
      <w:divBdr>
        <w:top w:val="none" w:sz="0" w:space="0" w:color="auto"/>
        <w:left w:val="none" w:sz="0" w:space="0" w:color="auto"/>
        <w:bottom w:val="none" w:sz="0" w:space="0" w:color="auto"/>
        <w:right w:val="none" w:sz="0" w:space="0" w:color="auto"/>
      </w:divBdr>
    </w:div>
    <w:div w:id="1387684747">
      <w:bodyDiv w:val="1"/>
      <w:marLeft w:val="0"/>
      <w:marRight w:val="0"/>
      <w:marTop w:val="0"/>
      <w:marBottom w:val="0"/>
      <w:divBdr>
        <w:top w:val="none" w:sz="0" w:space="0" w:color="auto"/>
        <w:left w:val="none" w:sz="0" w:space="0" w:color="auto"/>
        <w:bottom w:val="none" w:sz="0" w:space="0" w:color="auto"/>
        <w:right w:val="none" w:sz="0" w:space="0" w:color="auto"/>
      </w:divBdr>
    </w:div>
    <w:div w:id="1669552927">
      <w:bodyDiv w:val="1"/>
      <w:marLeft w:val="0"/>
      <w:marRight w:val="0"/>
      <w:marTop w:val="0"/>
      <w:marBottom w:val="0"/>
      <w:divBdr>
        <w:top w:val="none" w:sz="0" w:space="0" w:color="auto"/>
        <w:left w:val="none" w:sz="0" w:space="0" w:color="auto"/>
        <w:bottom w:val="none" w:sz="0" w:space="0" w:color="auto"/>
        <w:right w:val="none" w:sz="0" w:space="0" w:color="auto"/>
      </w:divBdr>
    </w:div>
    <w:div w:id="1905987241">
      <w:bodyDiv w:val="1"/>
      <w:marLeft w:val="0"/>
      <w:marRight w:val="0"/>
      <w:marTop w:val="0"/>
      <w:marBottom w:val="0"/>
      <w:divBdr>
        <w:top w:val="none" w:sz="0" w:space="0" w:color="auto"/>
        <w:left w:val="none" w:sz="0" w:space="0" w:color="auto"/>
        <w:bottom w:val="none" w:sz="0" w:space="0" w:color="auto"/>
        <w:right w:val="none" w:sz="0" w:space="0" w:color="auto"/>
      </w:divBdr>
    </w:div>
    <w:div w:id="191242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C9C882-A319-440C-8B88-8D594E305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474</Words>
  <Characters>2703</Characters>
  <Application>Microsoft Office Word</Application>
  <DocSecurity>0</DocSecurity>
  <Lines>22</Lines>
  <Paragraphs>6</Paragraphs>
  <ScaleCrop>false</ScaleCrop>
  <Company>efund</Company>
  <LinksUpToDate>false</LinksUpToDate>
  <CharactersWithSpaces>3171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易方达超越指数证券投资基金发行设立申报材料</dc:title>
  <dc:creator>zn</dc:creator>
  <cp:lastModifiedBy>蔡广彬</cp:lastModifiedBy>
  <cp:revision>7</cp:revision>
  <cp:lastPrinted>2013-08-14T03:37:00Z</cp:lastPrinted>
  <dcterms:created xsi:type="dcterms:W3CDTF">2019-01-02T11:20:00Z</dcterms:created>
  <dcterms:modified xsi:type="dcterms:W3CDTF">2019-01-02T11:38:00Z</dcterms:modified>
</cp:coreProperties>
</file>