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海蕴理财优选系列恒盈1号定期开放式净值型理财产品（1M）2021年第3期净值及分红公告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海蕴理财优选系列恒盈1号定期开放式净值型理财产品（1M）2021年第3期（产品登记编码C1082221000023），于2021年05月20日进行分红，分红信息如下：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2021-05-19</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2021-05-19</w:t>
            </w:r>
          </w:p>
        </w:tc>
      </w:tr>
      <w:tr>
        <w:tc>
          <w:tcPr>
            <w:tcW w:type="dxa" w:w="4320"/>
          </w:tcPr>
          <w:p>
            <w:r>
              <w:t>除权日</w:t>
            </w:r>
          </w:p>
        </w:tc>
        <w:tc>
          <w:tcPr>
            <w:tcW w:type="dxa" w:w="4320"/>
          </w:tcPr>
          <w:p>
            <w:r>
              <w:t>2021-05-19</w:t>
            </w:r>
          </w:p>
        </w:tc>
      </w:tr>
      <w:tr>
        <w:tc>
          <w:tcPr>
            <w:tcW w:type="dxa" w:w="4320"/>
          </w:tcPr>
          <w:p>
            <w:r>
              <w:t>现金红利发放日</w:t>
            </w:r>
          </w:p>
        </w:tc>
        <w:tc>
          <w:tcPr>
            <w:tcW w:type="dxa" w:w="4320"/>
          </w:tcPr>
          <w:p>
            <w:r>
              <w:t>2021-05-20</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2021-05-19</w:t>
            </w:r>
          </w:p>
        </w:tc>
        <w:tc>
          <w:tcPr>
            <w:tcW w:type="dxa" w:w="2160"/>
          </w:tcPr>
          <w:p>
            <w:r>
              <w:t>38,411,000.00</w:t>
            </w:r>
          </w:p>
        </w:tc>
        <w:tc>
          <w:tcPr>
            <w:tcW w:type="dxa" w:w="2160"/>
          </w:tcPr>
          <w:p>
            <w:r>
              <w:t>1.0000</w:t>
            </w:r>
          </w:p>
        </w:tc>
        <w:tc>
          <w:tcPr>
            <w:tcW w:type="dxa" w:w="2160"/>
          </w:tcPr>
          <w:p>
            <w:r>
              <w:t>1.0037</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2021年05月20日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