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海蕴理财优选系列恒盈1号定期开放式净值型理财产品（1M）2021年第3期（产品登记编码C1082221000023），于2021年06月24日进行分红，分红信息如下：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2021-06-23</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2021-06-23</w:t>
            </w:r>
          </w:p>
        </w:tc>
      </w:tr>
      <w:tr>
        <w:tc>
          <w:tcPr>
            <w:tcW w:type="dxa" w:w="4320"/>
          </w:tcPr>
          <w:p>
            <w:r>
              <w:t>除权日</w:t>
            </w:r>
          </w:p>
        </w:tc>
        <w:tc>
          <w:tcPr>
            <w:tcW w:type="dxa" w:w="4320"/>
          </w:tcPr>
          <w:p>
            <w:r>
              <w:t>2021-06-23</w:t>
            </w:r>
          </w:p>
        </w:tc>
      </w:tr>
      <w:tr>
        <w:tc>
          <w:tcPr>
            <w:tcW w:type="dxa" w:w="4320"/>
          </w:tcPr>
          <w:p>
            <w:r>
              <w:t>现金红利发放日</w:t>
            </w:r>
          </w:p>
        </w:tc>
        <w:tc>
          <w:tcPr>
            <w:tcW w:type="dxa" w:w="4320"/>
          </w:tcPr>
          <w:p>
            <w:r>
              <w:t>2021-06-24</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2021-06-23</w:t>
            </w:r>
          </w:p>
        </w:tc>
        <w:tc>
          <w:tcPr>
            <w:tcW w:type="dxa" w:w="2160"/>
          </w:tcPr>
          <w:p>
            <w:r>
              <w:t>50,632,000.00</w:t>
            </w:r>
          </w:p>
        </w:tc>
        <w:tc>
          <w:tcPr>
            <w:tcW w:type="dxa" w:w="2160"/>
          </w:tcPr>
          <w:p>
            <w:r>
              <w:t>1.0000</w:t>
            </w:r>
          </w:p>
        </w:tc>
        <w:tc>
          <w:tcPr>
            <w:tcW w:type="dxa" w:w="2160"/>
          </w:tcPr>
          <w:p>
            <w:r>
              <w:t>1.0074</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2021年06月24日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