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海蕴理财优选系列恒盈1号定期开放式净值型理财产品（1M）2021年第4期净值及分红公告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海蕴理财优选系列恒盈1号定期开放式净值型理财产品（1M）2021年第4期（产品登记编码C1082221000024），于2021年09月09日进行分红，分红信息如下：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2021-09-08</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2021-09-08</w:t>
            </w:r>
          </w:p>
        </w:tc>
      </w:tr>
      <w:tr>
        <w:tc>
          <w:tcPr>
            <w:tcW w:type="dxa" w:w="4320"/>
          </w:tcPr>
          <w:p>
            <w:r>
              <w:t>除权日</w:t>
            </w:r>
          </w:p>
        </w:tc>
        <w:tc>
          <w:tcPr>
            <w:tcW w:type="dxa" w:w="4320"/>
          </w:tcPr>
          <w:p>
            <w:r>
              <w:t>2021-09-08</w:t>
            </w:r>
          </w:p>
        </w:tc>
      </w:tr>
      <w:tr>
        <w:tc>
          <w:tcPr>
            <w:tcW w:type="dxa" w:w="4320"/>
          </w:tcPr>
          <w:p>
            <w:r>
              <w:t>现金红利发放日</w:t>
            </w:r>
          </w:p>
        </w:tc>
        <w:tc>
          <w:tcPr>
            <w:tcW w:type="dxa" w:w="4320"/>
          </w:tcPr>
          <w:p>
            <w:r>
              <w:t>2021-09-09</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2021-09-08</w:t>
            </w:r>
          </w:p>
        </w:tc>
        <w:tc>
          <w:tcPr>
            <w:tcW w:type="dxa" w:w="2160"/>
          </w:tcPr>
          <w:p>
            <w:r>
              <w:t>64,143,000.00</w:t>
            </w:r>
          </w:p>
        </w:tc>
        <w:tc>
          <w:tcPr>
            <w:tcW w:type="dxa" w:w="2160"/>
          </w:tcPr>
          <w:p>
            <w:r>
              <w:t>1.0000</w:t>
            </w:r>
          </w:p>
        </w:tc>
        <w:tc>
          <w:tcPr>
            <w:tcW w:type="dxa" w:w="2160"/>
          </w:tcPr>
          <w:p>
            <w:r>
              <w:t>1.0150</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2021年09月09日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