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2022年08月30日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1.1104</w:t>
            </w:r>
          </w:p>
        </w:tc>
        <w:tc>
          <w:tcPr>
            <w:tcW w:w="1020" w:type="dxa"/>
            <w:vAlign w:val="center"/>
          </w:tcPr>
          <w:p>
            <w:pPr>
              <w:jc w:val="center"/>
              <w:rPr>
                <w:b/>
                <w:bCs/>
                <w:color w:val="000000"/>
              </w:rPr>
            </w:pPr>
            <w:r>
              <w:rPr>
                <w:rFonts w:ascii="Arial" w:hAnsi="Arial" w:eastAsia="宋体" w:cs="Arial"/>
                <w:kern w:val="0"/>
                <w:sz w:val="20"/>
                <w:szCs w:val="20"/>
              </w:rPr>
              <w:t>1.0080</w:t>
            </w:r>
          </w:p>
        </w:tc>
        <w:tc>
          <w:tcPr>
            <w:tcW w:w="1020" w:type="dxa"/>
            <w:vAlign w:val="center"/>
          </w:tcPr>
          <w:p>
            <w:pPr>
              <w:jc w:val="center"/>
              <w:rPr>
                <w:b/>
                <w:bCs/>
                <w:color w:val="000000"/>
              </w:rPr>
            </w:pPr>
            <w:r>
              <w:rPr>
                <w:rFonts w:ascii="Arial" w:hAnsi="Arial" w:eastAsia="宋体" w:cs="Arial"/>
                <w:kern w:val="0"/>
                <w:sz w:val="20"/>
                <w:szCs w:val="20"/>
              </w:rPr>
              <w:t>1.0080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1.1070</w:t>
            </w:r>
          </w:p>
        </w:tc>
        <w:tc>
          <w:tcPr>
            <w:tcW w:w="1020" w:type="dxa"/>
            <w:vAlign w:val="center"/>
          </w:tcPr>
          <w:p>
            <w:pPr>
              <w:jc w:val="center"/>
              <w:rPr>
                <w:b/>
                <w:bCs/>
                <w:color w:val="000000"/>
              </w:rPr>
            </w:pPr>
            <w:r>
              <w:rPr>
                <w:rFonts w:ascii="Arial" w:hAnsi="Arial" w:eastAsia="宋体" w:cs="Arial"/>
                <w:kern w:val="0"/>
                <w:sz w:val="20"/>
                <w:szCs w:val="20"/>
              </w:rPr>
              <w:t>1.0058</w:t>
            </w:r>
          </w:p>
        </w:tc>
        <w:tc>
          <w:tcPr>
            <w:tcW w:w="1020" w:type="dxa"/>
            <w:vAlign w:val="center"/>
          </w:tcPr>
          <w:p>
            <w:pPr>
              <w:jc w:val="center"/>
              <w:rPr>
                <w:b/>
                <w:bCs/>
                <w:color w:val="000000"/>
              </w:rPr>
            </w:pPr>
            <w:r>
              <w:rPr>
                <w:rFonts w:ascii="Arial" w:hAnsi="Arial" w:eastAsia="宋体" w:cs="Arial"/>
                <w:kern w:val="0"/>
                <w:sz w:val="20"/>
                <w:szCs w:val="20"/>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1.1056</w:t>
            </w:r>
          </w:p>
        </w:tc>
        <w:tc>
          <w:tcPr>
            <w:tcW w:w="1020" w:type="dxa"/>
            <w:vAlign w:val="center"/>
          </w:tcPr>
          <w:p>
            <w:pPr>
              <w:jc w:val="center"/>
              <w:rPr>
                <w:b/>
                <w:bCs/>
                <w:color w:val="000000"/>
              </w:rPr>
            </w:pPr>
            <w:r>
              <w:rPr>
                <w:rFonts w:ascii="Arial" w:hAnsi="Arial" w:eastAsia="宋体" w:cs="Arial"/>
                <w:kern w:val="0"/>
                <w:sz w:val="20"/>
                <w:szCs w:val="20"/>
              </w:rPr>
              <w:t>1.0041</w:t>
            </w:r>
          </w:p>
        </w:tc>
        <w:tc>
          <w:tcPr>
            <w:tcW w:w="1020" w:type="dxa"/>
            <w:vAlign w:val="center"/>
          </w:tcPr>
          <w:p>
            <w:pPr>
              <w:jc w:val="center"/>
              <w:rPr>
                <w:b/>
                <w:bCs/>
                <w:color w:val="000000"/>
              </w:rPr>
            </w:pPr>
            <w:r>
              <w:rPr>
                <w:rFonts w:ascii="Arial" w:hAnsi="Arial" w:eastAsia="宋体" w:cs="Arial"/>
                <w:kern w:val="0"/>
                <w:sz w:val="20"/>
                <w:szCs w:val="20"/>
              </w:rPr>
              <w:t>1.0041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1.1002</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1.1004</w:t>
            </w:r>
          </w:p>
        </w:tc>
        <w:tc>
          <w:tcPr>
            <w:tcW w:w="1020" w:type="dxa"/>
            <w:vAlign w:val="center"/>
          </w:tcPr>
          <w:p>
            <w:pPr>
              <w:jc w:val="center"/>
              <w:rPr>
                <w:b/>
                <w:bCs/>
                <w:color w:val="000000"/>
              </w:rPr>
            </w:pPr>
            <w:r>
              <w:rPr>
                <w:rFonts w:ascii="Arial" w:hAnsi="Arial" w:eastAsia="宋体" w:cs="Arial"/>
                <w:kern w:val="0"/>
                <w:sz w:val="20"/>
                <w:szCs w:val="20"/>
              </w:rPr>
              <w:t>0.9997</w:t>
            </w:r>
          </w:p>
        </w:tc>
        <w:tc>
          <w:tcPr>
            <w:tcW w:w="1020" w:type="dxa"/>
            <w:vAlign w:val="center"/>
          </w:tcPr>
          <w:p>
            <w:pPr>
              <w:jc w:val="center"/>
              <w:rPr>
                <w:b/>
                <w:bCs/>
                <w:color w:val="000000"/>
              </w:rPr>
            </w:pPr>
            <w:r>
              <w:rPr>
                <w:rFonts w:ascii="Arial" w:hAnsi="Arial" w:eastAsia="宋体" w:cs="Arial"/>
                <w:kern w:val="0"/>
                <w:sz w:val="20"/>
                <w:szCs w:val="20"/>
              </w:rPr>
              <w:t>0.9997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1.0995</w:t>
            </w:r>
          </w:p>
        </w:tc>
        <w:tc>
          <w:tcPr>
            <w:tcW w:w="1020" w:type="dxa"/>
            <w:vAlign w:val="center"/>
          </w:tcPr>
          <w:p>
            <w:pPr>
              <w:jc w:val="center"/>
              <w:rPr>
                <w:b/>
                <w:bCs/>
                <w:color w:val="000000"/>
              </w:rPr>
            </w:pPr>
            <w:r>
              <w:rPr>
                <w:rFonts w:ascii="Arial" w:hAnsi="Arial" w:eastAsia="宋体" w:cs="Arial"/>
                <w:kern w:val="0"/>
                <w:sz w:val="20"/>
                <w:szCs w:val="20"/>
              </w:rPr>
              <w:t>0.9994</w:t>
            </w:r>
          </w:p>
        </w:tc>
        <w:tc>
          <w:tcPr>
            <w:tcW w:w="1020" w:type="dxa"/>
            <w:vAlign w:val="center"/>
          </w:tcPr>
          <w:p>
            <w:pPr>
              <w:jc w:val="center"/>
              <w:rPr>
                <w:b/>
                <w:bCs/>
                <w:color w:val="000000"/>
              </w:rPr>
            </w:pPr>
            <w:r>
              <w:rPr>
                <w:rFonts w:ascii="Arial" w:hAnsi="Arial" w:eastAsia="宋体" w:cs="Arial"/>
                <w:kern w:val="0"/>
                <w:sz w:val="20"/>
                <w:szCs w:val="20"/>
              </w:rPr>
              <w:t>0.9994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1.0997</w:t>
            </w:r>
          </w:p>
        </w:tc>
        <w:tc>
          <w:tcPr>
            <w:tcW w:w="1020" w:type="dxa"/>
            <w:vAlign w:val="center"/>
          </w:tcPr>
          <w:p>
            <w:pPr>
              <w:jc w:val="center"/>
              <w:rPr>
                <w:b/>
                <w:bCs/>
                <w:color w:val="000000"/>
              </w:rPr>
            </w:pPr>
            <w:r>
              <w:rPr>
                <w:rFonts w:ascii="Arial" w:hAnsi="Arial" w:eastAsia="宋体" w:cs="Arial"/>
                <w:kern w:val="0"/>
                <w:sz w:val="20"/>
                <w:szCs w:val="20"/>
              </w:rPr>
              <w:t>1.0082</w:t>
            </w:r>
          </w:p>
        </w:tc>
        <w:tc>
          <w:tcPr>
            <w:tcW w:w="1020" w:type="dxa"/>
            <w:vAlign w:val="center"/>
          </w:tcPr>
          <w:p>
            <w:pPr>
              <w:jc w:val="center"/>
              <w:rPr>
                <w:b/>
                <w:bCs/>
                <w:color w:val="000000"/>
              </w:rPr>
            </w:pPr>
            <w:r>
              <w:rPr>
                <w:rFonts w:ascii="Arial" w:hAnsi="Arial" w:eastAsia="宋体" w:cs="Arial"/>
                <w:kern w:val="0"/>
                <w:sz w:val="20"/>
                <w:szCs w:val="20"/>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1.1000</w:t>
            </w:r>
          </w:p>
        </w:tc>
        <w:tc>
          <w:tcPr>
            <w:tcW w:w="1020" w:type="dxa"/>
            <w:vAlign w:val="center"/>
          </w:tcPr>
          <w:p>
            <w:pPr>
              <w:jc w:val="center"/>
              <w:rPr>
                <w:b/>
                <w:bCs/>
                <w:color w:val="000000"/>
              </w:rPr>
            </w:pPr>
            <w:r>
              <w:rPr>
                <w:rFonts w:ascii="Arial" w:hAnsi="Arial" w:eastAsia="宋体" w:cs="Arial"/>
                <w:kern w:val="0"/>
                <w:sz w:val="20"/>
                <w:szCs w:val="20"/>
              </w:rPr>
              <w:t>1.0089</w:t>
            </w:r>
          </w:p>
        </w:tc>
        <w:tc>
          <w:tcPr>
            <w:tcW w:w="1020" w:type="dxa"/>
            <w:vAlign w:val="center"/>
          </w:tcPr>
          <w:p>
            <w:pPr>
              <w:jc w:val="center"/>
              <w:rPr>
                <w:b/>
                <w:bCs/>
                <w:color w:val="000000"/>
              </w:rPr>
            </w:pPr>
            <w:r>
              <w:rPr>
                <w:rFonts w:ascii="Arial" w:hAnsi="Arial" w:eastAsia="宋体" w:cs="Arial"/>
                <w:kern w:val="0"/>
                <w:sz w:val="20"/>
                <w:szCs w:val="20"/>
              </w:rPr>
              <w:t>1.0089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1.0984</w:t>
            </w:r>
          </w:p>
        </w:tc>
        <w:tc>
          <w:tcPr>
            <w:tcW w:w="1020" w:type="dxa"/>
            <w:vAlign w:val="center"/>
          </w:tcPr>
          <w:p>
            <w:pPr>
              <w:jc w:val="center"/>
              <w:rPr>
                <w:b/>
                <w:bCs/>
                <w:color w:val="000000"/>
              </w:rPr>
            </w:pPr>
            <w:r>
              <w:rPr>
                <w:rFonts w:ascii="Arial" w:hAnsi="Arial" w:eastAsia="宋体" w:cs="Arial"/>
                <w:kern w:val="0"/>
                <w:sz w:val="20"/>
                <w:szCs w:val="20"/>
              </w:rPr>
              <w:t>1.0075</w:t>
            </w:r>
          </w:p>
        </w:tc>
        <w:tc>
          <w:tcPr>
            <w:tcW w:w="1020" w:type="dxa"/>
            <w:vAlign w:val="center"/>
          </w:tcPr>
          <w:p>
            <w:pPr>
              <w:jc w:val="center"/>
              <w:rPr>
                <w:b/>
                <w:bCs/>
                <w:color w:val="000000"/>
              </w:rPr>
            </w:pPr>
            <w:r>
              <w:rPr>
                <w:rFonts w:ascii="Arial" w:hAnsi="Arial" w:eastAsia="宋体" w:cs="Arial"/>
                <w:kern w:val="0"/>
                <w:sz w:val="20"/>
                <w:szCs w:val="20"/>
              </w:rPr>
              <w:t>1.0075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1.0976</w:t>
            </w:r>
          </w:p>
        </w:tc>
        <w:tc>
          <w:tcPr>
            <w:tcW w:w="1020" w:type="dxa"/>
            <w:vAlign w:val="center"/>
          </w:tcPr>
          <w:p>
            <w:pPr>
              <w:jc w:val="center"/>
              <w:rPr>
                <w:b/>
                <w:bCs/>
                <w:color w:val="000000"/>
              </w:rPr>
            </w:pPr>
            <w:r>
              <w:rPr>
                <w:rFonts w:ascii="Arial" w:hAnsi="Arial" w:eastAsia="宋体" w:cs="Arial"/>
                <w:kern w:val="0"/>
                <w:sz w:val="20"/>
                <w:szCs w:val="20"/>
              </w:rPr>
              <w:t>1.0063</w:t>
            </w:r>
          </w:p>
        </w:tc>
        <w:tc>
          <w:tcPr>
            <w:tcW w:w="1020" w:type="dxa"/>
            <w:vAlign w:val="center"/>
          </w:tcPr>
          <w:p>
            <w:pPr>
              <w:jc w:val="center"/>
              <w:rPr>
                <w:b/>
                <w:bCs/>
                <w:color w:val="000000"/>
              </w:rPr>
            </w:pPr>
            <w:r>
              <w:rPr>
                <w:rFonts w:ascii="Arial" w:hAnsi="Arial" w:eastAsia="宋体" w:cs="Arial"/>
                <w:kern w:val="0"/>
                <w:sz w:val="20"/>
                <w:szCs w:val="20"/>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1.0933</w:t>
            </w:r>
          </w:p>
        </w:tc>
        <w:tc>
          <w:tcPr>
            <w:tcW w:w="1020" w:type="dxa"/>
            <w:vAlign w:val="center"/>
          </w:tcPr>
          <w:p>
            <w:pPr>
              <w:jc w:val="center"/>
              <w:rPr>
                <w:b/>
                <w:bCs/>
                <w:color w:val="000000"/>
              </w:rPr>
            </w:pPr>
            <w:r>
              <w:rPr>
                <w:rFonts w:ascii="Arial" w:hAnsi="Arial" w:eastAsia="宋体" w:cs="Arial"/>
                <w:kern w:val="0"/>
                <w:sz w:val="20"/>
                <w:szCs w:val="20"/>
              </w:rPr>
              <w:t>1.0033</w:t>
            </w:r>
          </w:p>
        </w:tc>
        <w:tc>
          <w:tcPr>
            <w:tcW w:w="1020" w:type="dxa"/>
            <w:vAlign w:val="center"/>
          </w:tcPr>
          <w:p>
            <w:pPr>
              <w:jc w:val="center"/>
              <w:rPr>
                <w:b/>
                <w:bCs/>
                <w:color w:val="000000"/>
              </w:rPr>
            </w:pPr>
            <w:r>
              <w:rPr>
                <w:rFonts w:ascii="Arial" w:hAnsi="Arial" w:eastAsia="宋体" w:cs="Arial"/>
                <w:kern w:val="0"/>
                <w:sz w:val="20"/>
                <w:szCs w:val="20"/>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1.0902</w:t>
            </w:r>
          </w:p>
        </w:tc>
        <w:tc>
          <w:tcPr>
            <w:tcW w:w="1020" w:type="dxa"/>
            <w:vAlign w:val="center"/>
          </w:tcPr>
          <w:p>
            <w:pPr>
              <w:jc w:val="center"/>
              <w:rPr>
                <w:b/>
                <w:bCs/>
                <w:color w:val="000000"/>
              </w:rPr>
            </w:pPr>
            <w:r>
              <w:rPr>
                <w:rFonts w:ascii="Arial" w:hAnsi="Arial" w:eastAsia="宋体" w:cs="Arial"/>
                <w:kern w:val="0"/>
                <w:sz w:val="20"/>
                <w:szCs w:val="20"/>
              </w:rPr>
              <w:t>1.0005</w:t>
            </w:r>
          </w:p>
        </w:tc>
        <w:tc>
          <w:tcPr>
            <w:tcW w:w="1020" w:type="dxa"/>
            <w:vAlign w:val="center"/>
          </w:tcPr>
          <w:p>
            <w:pPr>
              <w:jc w:val="center"/>
              <w:rPr>
                <w:b/>
                <w:bCs/>
                <w:color w:val="000000"/>
              </w:rPr>
            </w:pPr>
            <w:r>
              <w:rPr>
                <w:rFonts w:ascii="Arial" w:hAnsi="Arial" w:eastAsia="宋体" w:cs="Arial"/>
                <w:kern w:val="0"/>
                <w:sz w:val="20"/>
                <w:szCs w:val="20"/>
              </w:rPr>
              <w:t>1.0005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1.0844</w:t>
            </w:r>
          </w:p>
        </w:tc>
        <w:tc>
          <w:tcPr>
            <w:tcW w:w="1020" w:type="dxa"/>
            <w:vAlign w:val="center"/>
          </w:tcPr>
          <w:p>
            <w:pPr>
              <w:jc w:val="center"/>
              <w:rPr>
                <w:b/>
                <w:bCs/>
                <w:color w:val="000000"/>
              </w:rPr>
            </w:pPr>
            <w:r>
              <w:rPr>
                <w:rFonts w:ascii="Arial" w:hAnsi="Arial" w:eastAsia="宋体" w:cs="Arial"/>
                <w:kern w:val="0"/>
                <w:sz w:val="20"/>
                <w:szCs w:val="20"/>
              </w:rPr>
              <w:t>1.0048</w:t>
            </w:r>
          </w:p>
        </w:tc>
        <w:tc>
          <w:tcPr>
            <w:tcW w:w="1020" w:type="dxa"/>
            <w:vAlign w:val="center"/>
          </w:tcPr>
          <w:p>
            <w:pPr>
              <w:jc w:val="center"/>
              <w:rPr>
                <w:b/>
                <w:bCs/>
                <w:color w:val="000000"/>
              </w:rPr>
            </w:pPr>
            <w:r>
              <w:rPr>
                <w:rFonts w:ascii="Arial" w:hAnsi="Arial" w:eastAsia="宋体" w:cs="Arial"/>
                <w:kern w:val="0"/>
                <w:sz w:val="20"/>
                <w:szCs w:val="20"/>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1.0512</w:t>
            </w:r>
          </w:p>
        </w:tc>
        <w:tc>
          <w:tcPr>
            <w:tcW w:w="1020" w:type="dxa"/>
            <w:vAlign w:val="center"/>
          </w:tcPr>
          <w:p>
            <w:pPr>
              <w:jc w:val="center"/>
              <w:rPr>
                <w:b/>
                <w:bCs/>
                <w:color w:val="000000"/>
              </w:rPr>
            </w:pPr>
            <w:r>
              <w:rPr>
                <w:rFonts w:ascii="Arial" w:hAnsi="Arial" w:eastAsia="宋体" w:cs="Arial"/>
                <w:kern w:val="0"/>
                <w:sz w:val="20"/>
                <w:szCs w:val="20"/>
              </w:rPr>
              <w:t>1.0026</w:t>
            </w:r>
          </w:p>
        </w:tc>
        <w:tc>
          <w:tcPr>
            <w:tcW w:w="1020" w:type="dxa"/>
            <w:vAlign w:val="center"/>
          </w:tcPr>
          <w:p>
            <w:pPr>
              <w:jc w:val="center"/>
              <w:rPr>
                <w:b/>
                <w:bCs/>
                <w:color w:val="000000"/>
              </w:rPr>
            </w:pPr>
            <w:r>
              <w:rPr>
                <w:rFonts w:ascii="Arial" w:hAnsi="Arial" w:eastAsia="宋体" w:cs="Arial"/>
                <w:kern w:val="0"/>
                <w:sz w:val="20"/>
                <w:szCs w:val="20"/>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1.0499</w:t>
            </w:r>
          </w:p>
        </w:tc>
        <w:tc>
          <w:tcPr>
            <w:tcW w:w="1020" w:type="dxa"/>
            <w:vAlign w:val="center"/>
          </w:tcPr>
          <w:p>
            <w:pPr>
              <w:jc w:val="center"/>
              <w:rPr>
                <w:b/>
                <w:bCs/>
                <w:color w:val="000000"/>
              </w:rPr>
            </w:pPr>
            <w:r>
              <w:rPr>
                <w:rFonts w:ascii="Arial" w:hAnsi="Arial" w:eastAsia="宋体" w:cs="Arial"/>
                <w:kern w:val="0"/>
                <w:sz w:val="20"/>
                <w:szCs w:val="20"/>
              </w:rPr>
              <w:t>1.0015</w:t>
            </w:r>
          </w:p>
        </w:tc>
        <w:tc>
          <w:tcPr>
            <w:tcW w:w="1020" w:type="dxa"/>
            <w:vAlign w:val="center"/>
          </w:tcPr>
          <w:p>
            <w:pPr>
              <w:jc w:val="center"/>
              <w:rPr>
                <w:b/>
                <w:bCs/>
                <w:color w:val="000000"/>
              </w:rPr>
            </w:pPr>
            <w:r>
              <w:rPr>
                <w:rFonts w:ascii="Arial" w:hAnsi="Arial" w:eastAsia="宋体" w:cs="Arial"/>
                <w:kern w:val="0"/>
                <w:sz w:val="20"/>
                <w:szCs w:val="20"/>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1.0488</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1.0487</w:t>
            </w:r>
          </w:p>
        </w:tc>
        <w:tc>
          <w:tcPr>
            <w:tcW w:w="1020" w:type="dxa"/>
            <w:vAlign w:val="center"/>
          </w:tcPr>
          <w:p>
            <w:pPr>
              <w:jc w:val="center"/>
              <w:rPr>
                <w:b/>
                <w:bCs/>
                <w:color w:val="000000"/>
              </w:rPr>
            </w:pPr>
            <w:r>
              <w:rPr>
                <w:rFonts w:ascii="Arial" w:hAnsi="Arial" w:eastAsia="宋体" w:cs="Arial"/>
                <w:kern w:val="0"/>
                <w:sz w:val="20"/>
                <w:szCs w:val="20"/>
              </w:rPr>
              <w:t>0.9999</w:t>
            </w:r>
          </w:p>
        </w:tc>
        <w:tc>
          <w:tcPr>
            <w:tcW w:w="1020" w:type="dxa"/>
            <w:vAlign w:val="center"/>
          </w:tcPr>
          <w:p>
            <w:pPr>
              <w:jc w:val="center"/>
              <w:rPr>
                <w:b/>
                <w:bCs/>
                <w:color w:val="000000"/>
              </w:rPr>
            </w:pPr>
            <w:r>
              <w:rPr>
                <w:rFonts w:ascii="Arial" w:hAnsi="Arial" w:eastAsia="宋体" w:cs="Arial"/>
                <w:kern w:val="0"/>
                <w:sz w:val="20"/>
                <w:szCs w:val="20"/>
              </w:rPr>
              <w:t>0.9999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2022-08-30</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1.0485</w:t>
            </w:r>
          </w:p>
        </w:tc>
        <w:tc>
          <w:tcPr>
            <w:tcW w:w="1020" w:type="dxa"/>
            <w:vAlign w:val="center"/>
          </w:tcPr>
          <w:p>
            <w:pPr>
              <w:jc w:val="center"/>
              <w:rPr>
                <w:b/>
                <w:bCs/>
                <w:color w:val="000000"/>
              </w:rPr>
            </w:pPr>
            <w:r>
              <w:rPr>
                <w:rFonts w:ascii="Arial" w:hAnsi="Arial" w:eastAsia="宋体" w:cs="Arial"/>
                <w:kern w:val="0"/>
                <w:sz w:val="20"/>
                <w:szCs w:val="20"/>
              </w:rPr>
              <w:t>1.0030</w:t>
            </w:r>
          </w:p>
        </w:tc>
        <w:tc>
          <w:tcPr>
            <w:tcW w:w="1020" w:type="dxa"/>
            <w:vAlign w:val="center"/>
          </w:tcPr>
          <w:p>
            <w:pPr>
              <w:jc w:val="center"/>
              <w:rPr>
                <w:b/>
                <w:bCs/>
                <w:color w:val="000000"/>
              </w:rPr>
            </w:pPr>
            <w:r>
              <w:rPr>
                <w:rFonts w:ascii="Arial" w:hAnsi="Arial" w:eastAsia="宋体" w:cs="Arial"/>
                <w:kern w:val="0"/>
                <w:sz w:val="20"/>
                <w:szCs w:val="20"/>
              </w:rPr>
              <w:t>1.0030</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2022年08月31日</w:t>
      </w:r>
    </w:p>
    <w:p>
      <w:pPr>
        <w:rPr>
          <w:rFonts w:hint="eastAsia" w:ascii="楷体" w:hAnsi="楷体"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34E03874"/>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2022-08-31T02:11:19Z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