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海蕴理财优选系列恒盈1号定期开放式净值型理财产品</w:t>
      </w:r>
    </w:p>
    <w:p>
      <w:pPr>
        <w:jc w:val="center"/>
        <w:rPr>
          <w:sz w:val="32"/>
          <w:szCs w:val="32"/>
        </w:rPr>
      </w:pPr>
      <w:r>
        <w:rPr>
          <w:rFonts w:hint="eastAsia" w:asciiTheme="majorEastAsia" w:hAnsiTheme="majorEastAsia" w:eastAsiaTheme="majorEastAsia"/>
          <w:b/>
          <w:sz w:val="32"/>
          <w:szCs w:val="32"/>
        </w:rPr>
        <w:t>净值公告</w:t>
      </w:r>
    </w:p>
    <w:p>
      <w:pPr>
        <w:rPr>
          <w:rFonts w:ascii="楷体" w:eastAsia="楷体" w:cs="楷体"/>
          <w:color w:val="000000"/>
          <w:kern w:val="0"/>
          <w:sz w:val="28"/>
          <w:szCs w:val="28"/>
          <w:lang w:val="zh-CN"/>
        </w:rPr>
      </w:pPr>
      <w:r>
        <w:rPr>
          <w:rFonts w:hint="eastAsia" w:ascii="楷体" w:eastAsia="楷体" w:cs="楷体"/>
          <w:color w:val="000000"/>
          <w:kern w:val="0"/>
          <w:sz w:val="28"/>
          <w:szCs w:val="28"/>
          <w:lang w:val="zh-CN"/>
        </w:rPr>
        <w:t>尊敬的投资者：</w:t>
      </w:r>
    </w:p>
    <w:p>
      <w:pPr>
        <w:ind w:firstLine="560" w:firstLineChars="200"/>
        <w:rPr>
          <w:rFonts w:ascii="楷体" w:eastAsia="楷体" w:cs="楷体"/>
          <w:color w:val="000000"/>
          <w:kern w:val="0"/>
          <w:sz w:val="28"/>
          <w:szCs w:val="28"/>
          <w:lang w:val="zh-CN"/>
        </w:rPr>
      </w:pPr>
      <w:r>
        <w:rPr>
          <w:rFonts w:hint="eastAsia" w:ascii="楷体" w:eastAsia="楷体" w:cs="楷体"/>
          <w:color w:val="000000"/>
          <w:kern w:val="0"/>
          <w:sz w:val="28"/>
          <w:szCs w:val="28"/>
          <w:lang w:val="zh-CN"/>
        </w:rPr>
        <w:t>截至</w:t>
      </w:r>
      <w:r>
        <w:rPr>
          <w:rFonts w:ascii="楷体" w:hAnsi="楷体" w:eastAsia="楷体" w:cs="楷体"/>
          <w:color w:val="000000"/>
          <w:sz w:val="28"/>
          <w:u w:val="none"/>
        </w:rPr>
        <w:t>2022年09月09日</w:t>
      </w:r>
      <w:r>
        <w:rPr>
          <w:rFonts w:hint="eastAsia" w:ascii="楷体" w:eastAsia="楷体" w:cs="楷体"/>
          <w:color w:val="000000"/>
          <w:kern w:val="0"/>
          <w:sz w:val="28"/>
          <w:szCs w:val="28"/>
          <w:lang w:val="zh-CN"/>
        </w:rPr>
        <w:t>，我行存续的</w:t>
      </w:r>
      <w:r>
        <w:rPr>
          <w:rFonts w:hint="eastAsia" w:ascii="楷体" w:eastAsia="楷体" w:cs="楷体" w:hAnsiTheme="minorHAnsi"/>
          <w:b w:val="0"/>
          <w:color w:val="000000"/>
          <w:kern w:val="0"/>
          <w:sz w:val="28"/>
          <w:szCs w:val="28"/>
          <w:lang w:val="zh-CN"/>
        </w:rPr>
        <w:t>海蕴理财优选系列</w:t>
      </w:r>
      <w:r>
        <w:rPr>
          <w:rFonts w:hint="eastAsia" w:ascii="楷体" w:eastAsia="楷体" w:cs="楷体"/>
          <w:color w:val="000000"/>
          <w:kern w:val="0"/>
          <w:sz w:val="28"/>
          <w:szCs w:val="28"/>
          <w:lang w:val="zh-CN"/>
        </w:rPr>
        <w:t>恒盈1号定期开放式净值型理财产品对应的净值如下：</w:t>
      </w:r>
    </w:p>
    <w:tbl>
      <w:tblPr>
        <w:tblStyle w:val="6"/>
        <w:tblW w:w="8789"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9"/>
        <w:gridCol w:w="1353"/>
        <w:gridCol w:w="1014"/>
        <w:gridCol w:w="1014"/>
        <w:gridCol w:w="1014"/>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402" w:type="dxa"/>
            <w:shd w:val="clear" w:color="auto" w:fill="auto"/>
            <w:vAlign w:val="center"/>
          </w:tcPr>
          <w:p>
            <w:pPr>
              <w:widowControl/>
              <w:jc w:val="center"/>
              <w:rPr>
                <w:b/>
                <w:bCs/>
                <w:color w:val="000000"/>
              </w:rPr>
            </w:pPr>
            <w:r>
              <w:rPr>
                <w:rFonts w:hint="eastAsia"/>
                <w:b/>
                <w:bCs/>
                <w:color w:val="000000"/>
              </w:rPr>
              <w:t>产品名称</w:t>
            </w:r>
          </w:p>
        </w:tc>
        <w:tc>
          <w:tcPr>
            <w:tcW w:w="1361" w:type="dxa"/>
            <w:shd w:val="clear" w:color="auto" w:fill="auto"/>
            <w:vAlign w:val="center"/>
          </w:tcPr>
          <w:p>
            <w:pPr>
              <w:widowControl/>
              <w:jc w:val="center"/>
              <w:rPr>
                <w:b/>
                <w:bCs/>
                <w:color w:val="000000"/>
              </w:rPr>
            </w:pPr>
            <w:r>
              <w:rPr>
                <w:rFonts w:hint="eastAsia"/>
                <w:b/>
                <w:bCs/>
                <w:color w:val="000000"/>
              </w:rPr>
              <w:t>净值日期</w:t>
            </w:r>
          </w:p>
        </w:tc>
        <w:tc>
          <w:tcPr>
            <w:tcW w:w="1020" w:type="dxa"/>
            <w:shd w:val="clear" w:color="auto" w:fill="auto"/>
            <w:vAlign w:val="center"/>
          </w:tcPr>
          <w:p>
            <w:pPr>
              <w:jc w:val="center"/>
              <w:rPr>
                <w:rFonts w:ascii="宋体" w:hAnsi="宋体" w:eastAsia="宋体" w:cs="宋体"/>
                <w:b/>
                <w:bCs/>
                <w:color w:val="000000"/>
                <w:sz w:val="24"/>
                <w:szCs w:val="24"/>
              </w:rPr>
            </w:pPr>
            <w:r>
              <w:rPr>
                <w:rFonts w:hint="eastAsia"/>
                <w:b/>
                <w:bCs/>
                <w:color w:val="000000"/>
              </w:rPr>
              <w:t>份额净值（元）</w:t>
            </w:r>
          </w:p>
        </w:tc>
        <w:tc>
          <w:tcPr>
            <w:tcW w:w="1020" w:type="dxa"/>
            <w:shd w:val="clear" w:color="auto" w:fill="auto"/>
            <w:vAlign w:val="center"/>
          </w:tcPr>
          <w:p>
            <w:pPr>
              <w:jc w:val="center"/>
              <w:rPr>
                <w:b/>
                <w:bCs/>
                <w:color w:val="000000"/>
              </w:rPr>
            </w:pPr>
            <w:r>
              <w:rPr>
                <w:rFonts w:hint="eastAsia"/>
                <w:b/>
                <w:bCs/>
                <w:color w:val="000000"/>
              </w:rPr>
              <w:t>份额累计净值（元）</w:t>
            </w:r>
          </w:p>
        </w:tc>
        <w:tc>
          <w:tcPr>
            <w:tcW w:w="1020" w:type="dxa"/>
            <w:vAlign w:val="center"/>
          </w:tcPr>
          <w:p>
            <w:pPr>
              <w:jc w:val="center"/>
              <w:rPr>
                <w:b/>
                <w:bCs/>
                <w:color w:val="000000"/>
              </w:rPr>
            </w:pPr>
            <w:r>
              <w:rPr>
                <w:rFonts w:hint="eastAsia"/>
                <w:b/>
                <w:bCs/>
                <w:color w:val="000000"/>
              </w:rPr>
              <w:t>申购价格（元/份）</w:t>
            </w:r>
          </w:p>
        </w:tc>
        <w:tc>
          <w:tcPr>
            <w:tcW w:w="1020" w:type="dxa"/>
            <w:vAlign w:val="center"/>
          </w:tcPr>
          <w:p>
            <w:pPr>
              <w:jc w:val="center"/>
              <w:rPr>
                <w:b/>
                <w:bCs/>
                <w:color w:val="000000"/>
              </w:rPr>
            </w:pPr>
            <w:r>
              <w:rPr>
                <w:rFonts w:hint="eastAsia"/>
                <w:b/>
                <w:bCs/>
                <w:color w:val="000000"/>
              </w:rPr>
              <w:t>赎回价格（元/份）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优选系列恒盈1号定期开放式净值型理财产品（3M）2019年第1期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1.0084</w:t>
            </w:r>
          </w:p>
        </w:tc>
        <w:tc>
          <w:tcPr>
            <w:tcW w:w="1020" w:type="dxa"/>
            <w:shd w:val="clear" w:color="auto" w:fill="auto"/>
            <w:vAlign w:val="center"/>
          </w:tcPr>
          <w:p>
            <w:pPr>
              <w:jc w:val="center"/>
              <w:rPr>
                <w:b/>
                <w:bCs/>
                <w:color w:val="000000"/>
              </w:rPr>
            </w:pPr>
            <w:r>
              <w:rPr>
                <w:rFonts w:ascii="Arial" w:hAnsi="Arial" w:eastAsia="宋体" w:cs="Arial"/>
                <w:kern w:val="0"/>
                <w:sz w:val="20"/>
                <w:szCs w:val="20"/>
              </w:rPr>
              <w:t>1.1108</w:t>
            </w:r>
          </w:p>
        </w:tc>
        <w:tc>
          <w:tcPr>
            <w:tcW w:w="1020" w:type="dxa"/>
            <w:vAlign w:val="center"/>
          </w:tcPr>
          <w:p>
            <w:pPr>
              <w:jc w:val="center"/>
              <w:rPr>
                <w:b/>
                <w:bCs/>
                <w:color w:val="000000"/>
              </w:rPr>
            </w:pPr>
            <w:r>
              <w:rPr>
                <w:rFonts w:ascii="Arial" w:hAnsi="Arial" w:eastAsia="宋体" w:cs="Arial"/>
                <w:kern w:val="0"/>
                <w:sz w:val="20"/>
                <w:szCs w:val="20"/>
              </w:rPr>
              <w:t>1.0084</w:t>
            </w:r>
          </w:p>
        </w:tc>
        <w:tc>
          <w:tcPr>
            <w:tcW w:w="1020" w:type="dxa"/>
            <w:vAlign w:val="center"/>
          </w:tcPr>
          <w:p>
            <w:pPr>
              <w:jc w:val="center"/>
              <w:rPr>
                <w:b/>
                <w:bCs/>
                <w:color w:val="000000"/>
              </w:rPr>
            </w:pPr>
            <w:r>
              <w:rPr>
                <w:rFonts w:ascii="Arial" w:hAnsi="Arial" w:eastAsia="宋体" w:cs="Arial"/>
                <w:kern w:val="0"/>
                <w:sz w:val="20"/>
                <w:szCs w:val="20"/>
              </w:rPr>
              <w:t>1.0084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1.0068</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1.1080</w:t>
            </w:r>
          </w:p>
        </w:tc>
        <w:tc>
          <w:tcPr>
            <w:tcW w:w="1020" w:type="dxa"/>
            <w:vAlign w:val="center"/>
          </w:tcPr>
          <w:p>
            <w:pPr>
              <w:jc w:val="center"/>
              <w:rPr>
                <w:b/>
                <w:bCs/>
                <w:color w:val="000000"/>
              </w:rPr>
            </w:pPr>
            <w:r>
              <w:rPr>
                <w:rFonts w:ascii="Arial" w:hAnsi="Arial" w:eastAsia="宋体" w:cs="Arial"/>
                <w:kern w:val="0"/>
                <w:sz w:val="20"/>
                <w:szCs w:val="20"/>
              </w:rPr>
              <w:t>1.0068</w:t>
            </w:r>
          </w:p>
        </w:tc>
        <w:tc>
          <w:tcPr>
            <w:tcW w:w="1020" w:type="dxa"/>
            <w:vAlign w:val="center"/>
          </w:tcPr>
          <w:p>
            <w:pPr>
              <w:jc w:val="center"/>
              <w:rPr>
                <w:b/>
                <w:bCs/>
                <w:color w:val="000000"/>
              </w:rPr>
            </w:pPr>
            <w:r>
              <w:rPr>
                <w:rFonts w:ascii="Arial" w:hAnsi="Arial" w:eastAsia="宋体" w:cs="Arial"/>
                <w:kern w:val="0"/>
                <w:sz w:val="20"/>
                <w:szCs w:val="20"/>
              </w:rPr>
              <w:t>1.0068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1.0051</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1.1066</w:t>
            </w:r>
          </w:p>
        </w:tc>
        <w:tc>
          <w:tcPr>
            <w:tcW w:w="1020" w:type="dxa"/>
            <w:vAlign w:val="center"/>
          </w:tcPr>
          <w:p>
            <w:pPr>
              <w:jc w:val="center"/>
              <w:rPr>
                <w:b/>
                <w:bCs/>
                <w:color w:val="000000"/>
              </w:rPr>
            </w:pPr>
            <w:r>
              <w:rPr>
                <w:rFonts w:ascii="Arial" w:hAnsi="Arial" w:eastAsia="宋体" w:cs="Arial"/>
                <w:kern w:val="0"/>
                <w:sz w:val="20"/>
                <w:szCs w:val="20"/>
              </w:rPr>
              <w:t>1.0051</w:t>
            </w:r>
          </w:p>
        </w:tc>
        <w:tc>
          <w:tcPr>
            <w:tcW w:w="1020" w:type="dxa"/>
            <w:vAlign w:val="center"/>
          </w:tcPr>
          <w:p>
            <w:pPr>
              <w:jc w:val="center"/>
              <w:rPr>
                <w:b/>
                <w:bCs/>
                <w:color w:val="000000"/>
              </w:rPr>
            </w:pPr>
            <w:r>
              <w:rPr>
                <w:rFonts w:ascii="Arial" w:hAnsi="Arial" w:eastAsia="宋体" w:cs="Arial"/>
                <w:kern w:val="0"/>
                <w:sz w:val="20"/>
                <w:szCs w:val="20"/>
              </w:rPr>
              <w:t>1.0051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1.0022</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1.1024</w:t>
            </w:r>
          </w:p>
        </w:tc>
        <w:tc>
          <w:tcPr>
            <w:tcW w:w="1020" w:type="dxa"/>
            <w:vAlign w:val="center"/>
          </w:tcPr>
          <w:p>
            <w:pPr>
              <w:jc w:val="center"/>
              <w:rPr>
                <w:b/>
                <w:bCs/>
                <w:color w:val="000000"/>
              </w:rPr>
            </w:pPr>
            <w:r>
              <w:rPr>
                <w:rFonts w:ascii="Arial" w:hAnsi="Arial" w:eastAsia="宋体" w:cs="Arial"/>
                <w:kern w:val="0"/>
                <w:sz w:val="20"/>
                <w:szCs w:val="20"/>
              </w:rPr>
              <w:t>1.0022</w:t>
            </w:r>
          </w:p>
        </w:tc>
        <w:tc>
          <w:tcPr>
            <w:tcW w:w="1020" w:type="dxa"/>
            <w:vAlign w:val="center"/>
          </w:tcPr>
          <w:p>
            <w:pPr>
              <w:jc w:val="center"/>
              <w:rPr>
                <w:b/>
                <w:bCs/>
                <w:color w:val="000000"/>
              </w:rPr>
            </w:pPr>
            <w:r>
              <w:rPr>
                <w:rFonts w:ascii="Arial" w:hAnsi="Arial" w:eastAsia="宋体" w:cs="Arial"/>
                <w:kern w:val="0"/>
                <w:sz w:val="20"/>
                <w:szCs w:val="20"/>
              </w:rPr>
              <w:t>1.0022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优选系列恒盈1号定期开放式净值型理财产品（3M）2020年第4期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1.0015</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1.1022</w:t>
            </w:r>
          </w:p>
        </w:tc>
        <w:tc>
          <w:tcPr>
            <w:tcW w:w="1020" w:type="dxa"/>
            <w:vAlign w:val="center"/>
          </w:tcPr>
          <w:p>
            <w:pPr>
              <w:jc w:val="center"/>
              <w:rPr>
                <w:b/>
                <w:bCs/>
                <w:color w:val="000000"/>
              </w:rPr>
            </w:pPr>
            <w:r>
              <w:rPr>
                <w:rFonts w:ascii="Arial" w:hAnsi="Arial" w:eastAsia="宋体" w:cs="Arial"/>
                <w:kern w:val="0"/>
                <w:sz w:val="20"/>
                <w:szCs w:val="20"/>
              </w:rPr>
              <w:t>1.0015</w:t>
            </w:r>
          </w:p>
        </w:tc>
        <w:tc>
          <w:tcPr>
            <w:tcW w:w="1020" w:type="dxa"/>
            <w:vAlign w:val="center"/>
          </w:tcPr>
          <w:p>
            <w:pPr>
              <w:jc w:val="center"/>
              <w:rPr>
                <w:b/>
                <w:bCs/>
                <w:color w:val="000000"/>
              </w:rPr>
            </w:pPr>
            <w:r>
              <w:rPr>
                <w:rFonts w:ascii="Arial" w:hAnsi="Arial" w:eastAsia="宋体" w:cs="Arial"/>
                <w:kern w:val="0"/>
                <w:sz w:val="20"/>
                <w:szCs w:val="20"/>
              </w:rPr>
              <w:t>1.0015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优选系列恒盈1号定期开放式净值型理财产品（3M）2020年第5期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1.0012</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1.1013</w:t>
            </w:r>
          </w:p>
        </w:tc>
        <w:tc>
          <w:tcPr>
            <w:tcW w:w="1020" w:type="dxa"/>
            <w:vAlign w:val="center"/>
          </w:tcPr>
          <w:p>
            <w:pPr>
              <w:jc w:val="center"/>
              <w:rPr>
                <w:b/>
                <w:bCs/>
                <w:color w:val="000000"/>
              </w:rPr>
            </w:pPr>
            <w:r>
              <w:rPr>
                <w:rFonts w:ascii="Arial" w:hAnsi="Arial" w:eastAsia="宋体" w:cs="Arial"/>
                <w:kern w:val="0"/>
                <w:sz w:val="20"/>
                <w:szCs w:val="20"/>
              </w:rPr>
              <w:t>1.0012</w:t>
            </w:r>
          </w:p>
        </w:tc>
        <w:tc>
          <w:tcPr>
            <w:tcW w:w="1020" w:type="dxa"/>
            <w:vAlign w:val="center"/>
          </w:tcPr>
          <w:p>
            <w:pPr>
              <w:jc w:val="center"/>
              <w:rPr>
                <w:b/>
                <w:bCs/>
                <w:color w:val="000000"/>
              </w:rPr>
            </w:pPr>
            <w:r>
              <w:rPr>
                <w:rFonts w:ascii="Arial" w:hAnsi="Arial" w:eastAsia="宋体" w:cs="Arial"/>
                <w:kern w:val="0"/>
                <w:sz w:val="20"/>
                <w:szCs w:val="20"/>
              </w:rPr>
              <w:t>1.0012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优选系列恒盈1号定期开放式净值型理财产品（3M）2020年第6期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1.0009</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1.1007</w:t>
            </w:r>
          </w:p>
        </w:tc>
        <w:tc>
          <w:tcPr>
            <w:tcW w:w="1020" w:type="dxa"/>
            <w:vAlign w:val="center"/>
          </w:tcPr>
          <w:p>
            <w:pPr>
              <w:jc w:val="center"/>
              <w:rPr>
                <w:b/>
                <w:bCs/>
                <w:color w:val="000000"/>
              </w:rPr>
            </w:pPr>
            <w:r>
              <w:rPr>
                <w:rFonts w:ascii="Arial" w:hAnsi="Arial" w:eastAsia="宋体" w:cs="Arial"/>
                <w:kern w:val="0"/>
                <w:sz w:val="20"/>
                <w:szCs w:val="20"/>
              </w:rPr>
              <w:t>1.0009</w:t>
            </w:r>
          </w:p>
        </w:tc>
        <w:tc>
          <w:tcPr>
            <w:tcW w:w="1020" w:type="dxa"/>
            <w:vAlign w:val="center"/>
          </w:tcPr>
          <w:p>
            <w:pPr>
              <w:jc w:val="center"/>
              <w:rPr>
                <w:b/>
                <w:bCs/>
                <w:color w:val="000000"/>
              </w:rPr>
            </w:pPr>
            <w:r>
              <w:rPr>
                <w:rFonts w:ascii="Arial" w:hAnsi="Arial" w:eastAsia="宋体" w:cs="Arial"/>
                <w:kern w:val="0"/>
                <w:sz w:val="20"/>
                <w:szCs w:val="20"/>
              </w:rPr>
              <w:t>1.0009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优选系列恒盈1号定期开放式净值型理财产品（3M）2020年第7期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1.0002</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1.1000</w:t>
            </w:r>
          </w:p>
        </w:tc>
        <w:tc>
          <w:tcPr>
            <w:tcW w:w="1020" w:type="dxa"/>
            <w:vAlign w:val="center"/>
          </w:tcPr>
          <w:p>
            <w:pPr>
              <w:jc w:val="center"/>
              <w:rPr>
                <w:b/>
                <w:bCs/>
                <w:color w:val="000000"/>
              </w:rPr>
            </w:pPr>
            <w:r>
              <w:rPr>
                <w:rFonts w:ascii="Arial" w:hAnsi="Arial" w:eastAsia="宋体" w:cs="Arial"/>
                <w:kern w:val="0"/>
                <w:sz w:val="20"/>
                <w:szCs w:val="20"/>
              </w:rPr>
              <w:t>1.0002</w:t>
            </w:r>
          </w:p>
        </w:tc>
        <w:tc>
          <w:tcPr>
            <w:tcW w:w="1020" w:type="dxa"/>
            <w:vAlign w:val="center"/>
          </w:tcPr>
          <w:p>
            <w:pPr>
              <w:jc w:val="center"/>
              <w:rPr>
                <w:b/>
                <w:bCs/>
                <w:color w:val="000000"/>
              </w:rPr>
            </w:pPr>
            <w:r>
              <w:rPr>
                <w:rFonts w:ascii="Arial" w:hAnsi="Arial" w:eastAsia="宋体" w:cs="Arial"/>
                <w:kern w:val="0"/>
                <w:sz w:val="20"/>
                <w:szCs w:val="20"/>
              </w:rPr>
              <w:t>1.0002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优选系列恒盈1号定期开放式净值型理财产品（3M）2020年第8期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1.0085</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1.0994</w:t>
            </w:r>
          </w:p>
        </w:tc>
        <w:tc>
          <w:tcPr>
            <w:tcW w:w="1020" w:type="dxa"/>
            <w:vAlign w:val="center"/>
          </w:tcPr>
          <w:p>
            <w:pPr>
              <w:jc w:val="center"/>
              <w:rPr>
                <w:b/>
                <w:bCs/>
                <w:color w:val="000000"/>
              </w:rPr>
            </w:pPr>
            <w:r>
              <w:rPr>
                <w:rFonts w:ascii="Arial" w:hAnsi="Arial" w:eastAsia="宋体" w:cs="Arial"/>
                <w:kern w:val="0"/>
                <w:sz w:val="20"/>
                <w:szCs w:val="20"/>
              </w:rPr>
              <w:t>1.0085</w:t>
            </w:r>
          </w:p>
        </w:tc>
        <w:tc>
          <w:tcPr>
            <w:tcW w:w="1020" w:type="dxa"/>
            <w:vAlign w:val="center"/>
          </w:tcPr>
          <w:p>
            <w:pPr>
              <w:jc w:val="center"/>
              <w:rPr>
                <w:b/>
                <w:bCs/>
                <w:color w:val="000000"/>
              </w:rPr>
            </w:pPr>
            <w:r>
              <w:rPr>
                <w:rFonts w:ascii="Arial" w:hAnsi="Arial" w:eastAsia="宋体" w:cs="Arial"/>
                <w:kern w:val="0"/>
                <w:sz w:val="20"/>
                <w:szCs w:val="20"/>
              </w:rPr>
              <w:t>1.0085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优选系列恒盈1号定期开放式净值型理财产品（3M）2020年第9期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1.0074</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1.0987</w:t>
            </w:r>
          </w:p>
        </w:tc>
        <w:tc>
          <w:tcPr>
            <w:tcW w:w="1020" w:type="dxa"/>
            <w:vAlign w:val="center"/>
          </w:tcPr>
          <w:p>
            <w:pPr>
              <w:jc w:val="center"/>
              <w:rPr>
                <w:b/>
                <w:bCs/>
                <w:color w:val="000000"/>
              </w:rPr>
            </w:pPr>
            <w:r>
              <w:rPr>
                <w:rFonts w:ascii="Arial" w:hAnsi="Arial" w:eastAsia="宋体" w:cs="Arial"/>
                <w:kern w:val="0"/>
                <w:sz w:val="20"/>
                <w:szCs w:val="20"/>
              </w:rPr>
              <w:t>1.0074</w:t>
            </w:r>
          </w:p>
        </w:tc>
        <w:tc>
          <w:tcPr>
            <w:tcW w:w="1020" w:type="dxa"/>
            <w:vAlign w:val="center"/>
          </w:tcPr>
          <w:p>
            <w:pPr>
              <w:jc w:val="center"/>
              <w:rPr>
                <w:b/>
                <w:bCs/>
                <w:color w:val="000000"/>
              </w:rPr>
            </w:pPr>
            <w:r>
              <w:rPr>
                <w:rFonts w:ascii="Arial" w:hAnsi="Arial" w:eastAsia="宋体" w:cs="Arial"/>
                <w:kern w:val="0"/>
                <w:sz w:val="20"/>
                <w:szCs w:val="20"/>
              </w:rPr>
              <w:t>1.0074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1.0044</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1.0944</w:t>
            </w:r>
          </w:p>
        </w:tc>
        <w:tc>
          <w:tcPr>
            <w:tcW w:w="1020" w:type="dxa"/>
            <w:vAlign w:val="center"/>
          </w:tcPr>
          <w:p>
            <w:pPr>
              <w:jc w:val="center"/>
              <w:rPr>
                <w:b/>
                <w:bCs/>
                <w:color w:val="000000"/>
              </w:rPr>
            </w:pPr>
            <w:r>
              <w:rPr>
                <w:rFonts w:ascii="Arial" w:hAnsi="Arial" w:eastAsia="宋体" w:cs="Arial"/>
                <w:kern w:val="0"/>
                <w:sz w:val="20"/>
                <w:szCs w:val="20"/>
              </w:rPr>
              <w:t>1.0044</w:t>
            </w:r>
          </w:p>
        </w:tc>
        <w:tc>
          <w:tcPr>
            <w:tcW w:w="1020" w:type="dxa"/>
            <w:vAlign w:val="center"/>
          </w:tcPr>
          <w:p>
            <w:pPr>
              <w:jc w:val="center"/>
              <w:rPr>
                <w:b/>
                <w:bCs/>
                <w:color w:val="000000"/>
              </w:rPr>
            </w:pPr>
            <w:r>
              <w:rPr>
                <w:rFonts w:ascii="Arial" w:hAnsi="Arial" w:eastAsia="宋体" w:cs="Arial"/>
                <w:kern w:val="0"/>
                <w:sz w:val="20"/>
                <w:szCs w:val="20"/>
              </w:rPr>
              <w:t>1.0044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1.0029</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1.0926</w:t>
            </w:r>
          </w:p>
        </w:tc>
        <w:tc>
          <w:tcPr>
            <w:tcW w:w="1020" w:type="dxa"/>
            <w:vAlign w:val="center"/>
          </w:tcPr>
          <w:p>
            <w:pPr>
              <w:jc w:val="center"/>
              <w:rPr>
                <w:b/>
                <w:bCs/>
                <w:color w:val="000000"/>
              </w:rPr>
            </w:pPr>
            <w:r>
              <w:rPr>
                <w:rFonts w:ascii="Arial" w:hAnsi="Arial" w:eastAsia="宋体" w:cs="Arial"/>
                <w:kern w:val="0"/>
                <w:sz w:val="20"/>
                <w:szCs w:val="20"/>
              </w:rPr>
              <w:t>1.0029</w:t>
            </w:r>
          </w:p>
        </w:tc>
        <w:tc>
          <w:tcPr>
            <w:tcW w:w="1020" w:type="dxa"/>
            <w:vAlign w:val="center"/>
          </w:tcPr>
          <w:p>
            <w:pPr>
              <w:jc w:val="center"/>
              <w:rPr>
                <w:b/>
                <w:bCs/>
                <w:color w:val="000000"/>
              </w:rPr>
            </w:pPr>
            <w:r>
              <w:rPr>
                <w:rFonts w:ascii="Arial" w:hAnsi="Arial" w:eastAsia="宋体" w:cs="Arial"/>
                <w:kern w:val="0"/>
                <w:sz w:val="20"/>
                <w:szCs w:val="20"/>
              </w:rPr>
              <w:t>1.0029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1.0059</w:t>
            </w:r>
          </w:p>
        </w:tc>
        <w:tc>
          <w:tcPr>
            <w:tcW w:w="1020" w:type="dxa"/>
            <w:shd w:val="clear" w:color="auto" w:fill="auto"/>
            <w:vAlign w:val="center"/>
          </w:tcPr>
          <w:p>
            <w:pPr>
              <w:jc w:val="center"/>
              <w:rPr>
                <w:b/>
                <w:bCs/>
                <w:color w:val="000000"/>
              </w:rPr>
            </w:pPr>
            <w:r>
              <w:rPr>
                <w:rFonts w:ascii="Arial" w:hAnsi="Arial" w:eastAsia="宋体" w:cs="Arial"/>
                <w:kern w:val="0"/>
                <w:sz w:val="20"/>
                <w:szCs w:val="20"/>
              </w:rPr>
              <w:t>1.0855</w:t>
            </w:r>
          </w:p>
        </w:tc>
        <w:tc>
          <w:tcPr>
            <w:tcW w:w="1020" w:type="dxa"/>
            <w:vAlign w:val="center"/>
          </w:tcPr>
          <w:p>
            <w:pPr>
              <w:jc w:val="center"/>
              <w:rPr>
                <w:b/>
                <w:bCs/>
                <w:color w:val="000000"/>
              </w:rPr>
            </w:pPr>
            <w:r>
              <w:rPr>
                <w:rFonts w:ascii="Arial" w:hAnsi="Arial" w:eastAsia="宋体" w:cs="Arial"/>
                <w:kern w:val="0"/>
                <w:sz w:val="20"/>
                <w:szCs w:val="20"/>
              </w:rPr>
              <w:t>1.0059</w:t>
            </w:r>
          </w:p>
        </w:tc>
        <w:tc>
          <w:tcPr>
            <w:tcW w:w="1020" w:type="dxa"/>
            <w:vAlign w:val="center"/>
          </w:tcPr>
          <w:p>
            <w:pPr>
              <w:jc w:val="center"/>
              <w:rPr>
                <w:b/>
                <w:bCs/>
                <w:color w:val="000000"/>
              </w:rPr>
            </w:pPr>
            <w:r>
              <w:rPr>
                <w:rFonts w:ascii="Arial" w:hAnsi="Arial" w:eastAsia="宋体" w:cs="Arial"/>
                <w:kern w:val="0"/>
                <w:sz w:val="20"/>
                <w:szCs w:val="20"/>
              </w:rPr>
              <w:t>1.0059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1.0002</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1.0519</w:t>
            </w:r>
          </w:p>
        </w:tc>
        <w:tc>
          <w:tcPr>
            <w:tcW w:w="1020" w:type="dxa"/>
            <w:vAlign w:val="center"/>
          </w:tcPr>
          <w:p>
            <w:pPr>
              <w:jc w:val="center"/>
              <w:rPr>
                <w:b/>
                <w:bCs/>
                <w:color w:val="000000"/>
              </w:rPr>
            </w:pPr>
            <w:r>
              <w:rPr>
                <w:rFonts w:ascii="Arial" w:hAnsi="Arial" w:eastAsia="宋体" w:cs="Arial"/>
                <w:kern w:val="0"/>
                <w:sz w:val="20"/>
                <w:szCs w:val="20"/>
              </w:rPr>
              <w:t>1.0002</w:t>
            </w:r>
          </w:p>
        </w:tc>
        <w:tc>
          <w:tcPr>
            <w:tcW w:w="1020" w:type="dxa"/>
            <w:vAlign w:val="center"/>
          </w:tcPr>
          <w:p>
            <w:pPr>
              <w:jc w:val="center"/>
              <w:rPr>
                <w:b/>
                <w:bCs/>
                <w:color w:val="000000"/>
              </w:rPr>
            </w:pPr>
            <w:r>
              <w:rPr>
                <w:rFonts w:ascii="Arial" w:hAnsi="Arial" w:eastAsia="宋体" w:cs="Arial"/>
                <w:kern w:val="0"/>
                <w:sz w:val="20"/>
                <w:szCs w:val="20"/>
              </w:rPr>
              <w:t>1.0002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1.0026</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1.0510</w:t>
            </w:r>
          </w:p>
        </w:tc>
        <w:tc>
          <w:tcPr>
            <w:tcW w:w="1020" w:type="dxa"/>
            <w:vAlign w:val="center"/>
          </w:tcPr>
          <w:p>
            <w:pPr>
              <w:jc w:val="center"/>
              <w:rPr>
                <w:b/>
                <w:bCs/>
                <w:color w:val="000000"/>
              </w:rPr>
            </w:pPr>
            <w:r>
              <w:rPr>
                <w:rFonts w:ascii="Arial" w:hAnsi="Arial" w:eastAsia="宋体" w:cs="Arial"/>
                <w:kern w:val="0"/>
                <w:sz w:val="20"/>
                <w:szCs w:val="20"/>
              </w:rPr>
              <w:t>1.0026</w:t>
            </w:r>
          </w:p>
        </w:tc>
        <w:tc>
          <w:tcPr>
            <w:tcW w:w="1020" w:type="dxa"/>
            <w:vAlign w:val="center"/>
          </w:tcPr>
          <w:p>
            <w:pPr>
              <w:jc w:val="center"/>
              <w:rPr>
                <w:b/>
                <w:bCs/>
                <w:color w:val="000000"/>
              </w:rPr>
            </w:pPr>
            <w:r>
              <w:rPr>
                <w:rFonts w:ascii="Arial" w:hAnsi="Arial" w:eastAsia="宋体" w:cs="Arial"/>
                <w:kern w:val="0"/>
                <w:sz w:val="20"/>
                <w:szCs w:val="20"/>
              </w:rPr>
              <w:t>1.0026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1.0017</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1.0504</w:t>
            </w:r>
          </w:p>
        </w:tc>
        <w:tc>
          <w:tcPr>
            <w:tcW w:w="1020" w:type="dxa"/>
            <w:vAlign w:val="center"/>
          </w:tcPr>
          <w:p>
            <w:pPr>
              <w:jc w:val="center"/>
              <w:rPr>
                <w:b/>
                <w:bCs/>
                <w:color w:val="000000"/>
              </w:rPr>
            </w:pPr>
            <w:r>
              <w:rPr>
                <w:rFonts w:ascii="Arial" w:hAnsi="Arial" w:eastAsia="宋体" w:cs="Arial"/>
                <w:kern w:val="0"/>
                <w:sz w:val="20"/>
                <w:szCs w:val="20"/>
              </w:rPr>
              <w:t>1.0017</w:t>
            </w:r>
          </w:p>
        </w:tc>
        <w:tc>
          <w:tcPr>
            <w:tcW w:w="1020" w:type="dxa"/>
            <w:vAlign w:val="center"/>
          </w:tcPr>
          <w:p>
            <w:pPr>
              <w:jc w:val="center"/>
              <w:rPr>
                <w:b/>
                <w:bCs/>
                <w:color w:val="000000"/>
              </w:rPr>
            </w:pPr>
            <w:r>
              <w:rPr>
                <w:rFonts w:ascii="Arial" w:hAnsi="Arial" w:eastAsia="宋体" w:cs="Arial"/>
                <w:kern w:val="0"/>
                <w:sz w:val="20"/>
                <w:szCs w:val="20"/>
              </w:rPr>
              <w:t>1.0017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优选系列恒盈1号定期开放式净值型理财产品（1M）2021年第4期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1.0015</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1.0503</w:t>
            </w:r>
          </w:p>
        </w:tc>
        <w:tc>
          <w:tcPr>
            <w:tcW w:w="1020" w:type="dxa"/>
            <w:vAlign w:val="center"/>
          </w:tcPr>
          <w:p>
            <w:pPr>
              <w:jc w:val="center"/>
              <w:rPr>
                <w:b/>
                <w:bCs/>
                <w:color w:val="000000"/>
              </w:rPr>
            </w:pPr>
            <w:r>
              <w:rPr>
                <w:rFonts w:ascii="Arial" w:hAnsi="Arial" w:eastAsia="宋体" w:cs="Arial"/>
                <w:kern w:val="0"/>
                <w:sz w:val="20"/>
                <w:szCs w:val="20"/>
              </w:rPr>
              <w:t>1.0015</w:t>
            </w:r>
          </w:p>
        </w:tc>
        <w:tc>
          <w:tcPr>
            <w:tcW w:w="1020" w:type="dxa"/>
            <w:vAlign w:val="center"/>
          </w:tcPr>
          <w:p>
            <w:pPr>
              <w:jc w:val="center"/>
              <w:rPr>
                <w:b/>
                <w:bCs/>
                <w:color w:val="000000"/>
              </w:rPr>
            </w:pPr>
            <w:r>
              <w:rPr>
                <w:rFonts w:ascii="Arial" w:hAnsi="Arial" w:eastAsia="宋体" w:cs="Arial"/>
                <w:kern w:val="0"/>
                <w:sz w:val="20"/>
                <w:szCs w:val="20"/>
              </w:rPr>
              <w:t>1.0015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优选系列恒盈1号定期开放式净值型理财产品（1M）2021年第5期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2022-09-09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1.0008</w:t>
            </w:r>
          </w:p>
        </w:tc>
        <w:tc>
          <w:tcPr>
            <w:tcW w:w="1020" w:type="dxa"/>
            <w:shd w:val="clear" w:color="auto" w:fill="auto"/>
            <w:vAlign w:val="center"/>
          </w:tcPr>
          <w:p>
            <w:pPr>
              <w:jc w:val="center"/>
              <w:rPr>
                <w:b/>
                <w:bCs/>
                <w:color w:val="000000"/>
              </w:rPr>
            </w:pPr>
            <w:r>
              <w:rPr>
                <w:rFonts w:ascii="Arial" w:hAnsi="Arial" w:eastAsia="宋体" w:cs="Arial"/>
                <w:kern w:val="0"/>
                <w:sz w:val="20"/>
                <w:szCs w:val="20"/>
              </w:rPr>
              <w:t>1.0494</w:t>
            </w:r>
          </w:p>
        </w:tc>
        <w:tc>
          <w:tcPr>
            <w:tcW w:w="1020" w:type="dxa"/>
            <w:vAlign w:val="center"/>
          </w:tcPr>
          <w:p>
            <w:pPr>
              <w:jc w:val="center"/>
              <w:rPr>
                <w:b/>
                <w:bCs/>
                <w:color w:val="000000"/>
              </w:rPr>
            </w:pPr>
            <w:r>
              <w:rPr>
                <w:rFonts w:ascii="Arial" w:hAnsi="Arial" w:eastAsia="宋体" w:cs="Arial"/>
                <w:kern w:val="0"/>
                <w:sz w:val="20"/>
                <w:szCs w:val="20"/>
              </w:rPr>
              <w:t>1.0008</w:t>
            </w:r>
          </w:p>
        </w:tc>
        <w:tc>
          <w:tcPr>
            <w:tcW w:w="1020" w:type="dxa"/>
            <w:vAlign w:val="center"/>
          </w:tcPr>
          <w:p>
            <w:pPr>
              <w:jc w:val="center"/>
              <w:rPr>
                <w:b/>
                <w:bCs/>
                <w:color w:val="000000"/>
              </w:rPr>
            </w:pPr>
            <w:r>
              <w:rPr>
                <w:rFonts w:ascii="Arial" w:hAnsi="Arial" w:eastAsia="宋体" w:cs="Arial"/>
                <w:kern w:val="0"/>
                <w:sz w:val="20"/>
                <w:szCs w:val="20"/>
              </w:rPr>
              <w:t>1.0008</w:t>
            </w:r>
          </w:p>
        </w:tc>
      </w:tr>
    </w:tbl>
    <w:p>
      <w:pPr>
        <w:ind w:firstLine="360" w:firstLineChars="150"/>
        <w:rPr>
          <w:sz w:val="24"/>
          <w:szCs w:val="24"/>
        </w:rPr>
      </w:pPr>
    </w:p>
    <w:p>
      <w:pPr>
        <w:jc w:val="left"/>
        <w:rPr>
          <w:rFonts w:hint="eastAsia" w:ascii="楷体" w:eastAsia="楷体" w:cs="楷体"/>
          <w:color w:val="000000"/>
          <w:kern w:val="0"/>
          <w:sz w:val="28"/>
          <w:szCs w:val="28"/>
          <w:lang w:val="zh-CN"/>
        </w:rPr>
      </w:pPr>
      <w:r>
        <w:rPr>
          <w:rFonts w:hint="eastAsia" w:ascii="楷体" w:eastAsia="楷体" w:cs="楷体"/>
          <w:color w:val="000000"/>
          <w:kern w:val="0"/>
          <w:sz w:val="28"/>
          <w:szCs w:val="28"/>
          <w:lang w:val="zh-CN"/>
        </w:rPr>
        <w:t>注：</w:t>
      </w:r>
    </w:p>
    <w:p>
      <w:pPr>
        <w:ind w:firstLine="560" w:firstLineChars="200"/>
        <w:jc w:val="left"/>
        <w:rPr>
          <w:rFonts w:ascii="楷体" w:eastAsia="楷体" w:cs="楷体"/>
          <w:color w:val="000000"/>
          <w:kern w:val="0"/>
          <w:sz w:val="28"/>
          <w:szCs w:val="28"/>
          <w:lang w:val="zh-CN"/>
        </w:rPr>
      </w:pPr>
      <w:r>
        <w:rPr>
          <w:rFonts w:hint="eastAsia" w:ascii="楷体" w:eastAsia="楷体" w:cs="楷体"/>
          <w:color w:val="000000"/>
          <w:kern w:val="0"/>
          <w:sz w:val="28"/>
          <w:szCs w:val="28"/>
          <w:lang w:val="zh-CN"/>
        </w:rPr>
        <w:t>上述理财产品在预约申购开放期和预约赎回开放期仅支持投资者办理预约申购申请和预约赎回申请，该期间展示的申购价格和赎回价格为当日的产品份额净值，仅作为投资者办理预约申购申请和预约赎回申请的参考，实际申购价格和赎回价格为申购确认日/赎回确认日前一日的产品份额净值。</w:t>
      </w:r>
    </w:p>
    <w:p>
      <w:pPr>
        <w:jc w:val="right"/>
        <w:rPr>
          <w:rFonts w:hint="eastAsia" w:ascii="楷体" w:hAnsi="楷体" w:eastAsia="楷体" w:cs="楷体"/>
          <w:sz w:val="28"/>
          <w:szCs w:val="28"/>
          <w:lang w:eastAsia="zh-CN"/>
        </w:rPr>
      </w:pPr>
      <w:r>
        <w:rPr>
          <w:rFonts w:hint="eastAsia" w:ascii="楷体" w:hAnsi="楷体" w:eastAsia="楷体" w:cs="楷体"/>
          <w:sz w:val="28"/>
          <w:szCs w:val="28"/>
        </w:rPr>
        <w:t>福建海峡银行</w:t>
      </w:r>
      <w:r>
        <w:rPr>
          <w:rFonts w:hint="eastAsia" w:ascii="楷体" w:hAnsi="楷体" w:eastAsia="楷体" w:cs="楷体"/>
          <w:sz w:val="28"/>
          <w:szCs w:val="28"/>
          <w:lang w:eastAsia="zh-CN"/>
        </w:rPr>
        <w:t>股份有限公司</w:t>
      </w:r>
    </w:p>
    <w:p>
      <w:pPr>
        <w:ind w:right="-197" w:rightChars="-94" w:firstLine="5600" w:firstLineChars="2000"/>
        <w:jc w:val="both"/>
        <w:rPr>
          <w:rFonts w:hint="eastAsia" w:ascii="楷体" w:hAnsi="楷体" w:eastAsia="楷体" w:cs="楷体"/>
          <w:sz w:val="28"/>
          <w:szCs w:val="28"/>
        </w:rPr>
      </w:pPr>
      <w:bookmarkStart w:id="0" w:name="_GoBack"/>
      <w:bookmarkEnd w:id="0"/>
      <w:r>
        <w:rPr>
          <w:rFonts w:hint="eastAsia" w:ascii="楷体" w:hAnsi="楷体" w:eastAsia="楷体" w:cs="楷体"/>
          <w:sz w:val="28"/>
          <w:szCs w:val="28"/>
        </w:rPr>
        <w:t>2022年09月1</w:t>
      </w:r>
      <w:r>
        <w:rPr>
          <w:rFonts w:hint="eastAsia" w:ascii="楷体" w:hAnsi="楷体" w:eastAsia="楷体" w:cs="楷体"/>
          <w:sz w:val="28"/>
          <w:szCs w:val="28"/>
          <w:lang w:val="en-US" w:eastAsia="zh-CN"/>
        </w:rPr>
        <w:t>3</w:t>
      </w:r>
      <w:r>
        <w:rPr>
          <w:rFonts w:hint="eastAsia" w:ascii="楷体" w:hAnsi="楷体" w:eastAsia="楷体" w:cs="楷体"/>
          <w:sz w:val="28"/>
          <w:szCs w:val="28"/>
        </w:rPr>
        <w:t>日</w:t>
      </w: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012E2"/>
    <w:rsid w:val="000151F6"/>
    <w:rsid w:val="00026686"/>
    <w:rsid w:val="00034A4A"/>
    <w:rsid w:val="000353DF"/>
    <w:rsid w:val="00071130"/>
    <w:rsid w:val="00097895"/>
    <w:rsid w:val="000D118F"/>
    <w:rsid w:val="000E0018"/>
    <w:rsid w:val="0011760A"/>
    <w:rsid w:val="001260D0"/>
    <w:rsid w:val="001537EC"/>
    <w:rsid w:val="001660A4"/>
    <w:rsid w:val="00175C8A"/>
    <w:rsid w:val="001762CB"/>
    <w:rsid w:val="001776E9"/>
    <w:rsid w:val="001B0C63"/>
    <w:rsid w:val="001D40FF"/>
    <w:rsid w:val="001E6A5E"/>
    <w:rsid w:val="001F3140"/>
    <w:rsid w:val="001F37A2"/>
    <w:rsid w:val="00202685"/>
    <w:rsid w:val="00203EE5"/>
    <w:rsid w:val="00213F78"/>
    <w:rsid w:val="002178DA"/>
    <w:rsid w:val="00222200"/>
    <w:rsid w:val="002357BC"/>
    <w:rsid w:val="0024095F"/>
    <w:rsid w:val="00251DFE"/>
    <w:rsid w:val="00256666"/>
    <w:rsid w:val="002D1431"/>
    <w:rsid w:val="002E04EC"/>
    <w:rsid w:val="002E378F"/>
    <w:rsid w:val="00312652"/>
    <w:rsid w:val="00312BDE"/>
    <w:rsid w:val="00332915"/>
    <w:rsid w:val="00354CC5"/>
    <w:rsid w:val="00377E85"/>
    <w:rsid w:val="00382A66"/>
    <w:rsid w:val="003A1318"/>
    <w:rsid w:val="003D79DF"/>
    <w:rsid w:val="00402D4A"/>
    <w:rsid w:val="00420343"/>
    <w:rsid w:val="00422505"/>
    <w:rsid w:val="004332E3"/>
    <w:rsid w:val="004353E0"/>
    <w:rsid w:val="00446AB0"/>
    <w:rsid w:val="0046043B"/>
    <w:rsid w:val="00481735"/>
    <w:rsid w:val="00496755"/>
    <w:rsid w:val="004C37EB"/>
    <w:rsid w:val="00511251"/>
    <w:rsid w:val="0051139B"/>
    <w:rsid w:val="00547FD2"/>
    <w:rsid w:val="005742AA"/>
    <w:rsid w:val="005853E4"/>
    <w:rsid w:val="005B2B19"/>
    <w:rsid w:val="005B743E"/>
    <w:rsid w:val="005C646D"/>
    <w:rsid w:val="005D51C1"/>
    <w:rsid w:val="005D7BF9"/>
    <w:rsid w:val="005E6649"/>
    <w:rsid w:val="00623115"/>
    <w:rsid w:val="0062591C"/>
    <w:rsid w:val="00640B24"/>
    <w:rsid w:val="0065005B"/>
    <w:rsid w:val="00677524"/>
    <w:rsid w:val="0068481D"/>
    <w:rsid w:val="00684831"/>
    <w:rsid w:val="00684E79"/>
    <w:rsid w:val="006930D4"/>
    <w:rsid w:val="006A18CF"/>
    <w:rsid w:val="006B0184"/>
    <w:rsid w:val="006B4C62"/>
    <w:rsid w:val="006B4FAB"/>
    <w:rsid w:val="006C44EE"/>
    <w:rsid w:val="006F5E9A"/>
    <w:rsid w:val="00714E0D"/>
    <w:rsid w:val="00742FE9"/>
    <w:rsid w:val="0076660F"/>
    <w:rsid w:val="00780F6D"/>
    <w:rsid w:val="007978B2"/>
    <w:rsid w:val="007A3C73"/>
    <w:rsid w:val="007C4906"/>
    <w:rsid w:val="007D4441"/>
    <w:rsid w:val="0081314A"/>
    <w:rsid w:val="00817674"/>
    <w:rsid w:val="008316A3"/>
    <w:rsid w:val="0084196F"/>
    <w:rsid w:val="00845F7C"/>
    <w:rsid w:val="008467A2"/>
    <w:rsid w:val="008841F6"/>
    <w:rsid w:val="00896C66"/>
    <w:rsid w:val="0089727C"/>
    <w:rsid w:val="008A3645"/>
    <w:rsid w:val="008B1874"/>
    <w:rsid w:val="008C3439"/>
    <w:rsid w:val="008D215B"/>
    <w:rsid w:val="008E6E6A"/>
    <w:rsid w:val="009055B6"/>
    <w:rsid w:val="00935C6F"/>
    <w:rsid w:val="009516A8"/>
    <w:rsid w:val="00951B3D"/>
    <w:rsid w:val="009637EA"/>
    <w:rsid w:val="00974A52"/>
    <w:rsid w:val="00996DD8"/>
    <w:rsid w:val="009C2884"/>
    <w:rsid w:val="009C5EC2"/>
    <w:rsid w:val="009D4C4F"/>
    <w:rsid w:val="009D72D8"/>
    <w:rsid w:val="009E4608"/>
    <w:rsid w:val="00A12D58"/>
    <w:rsid w:val="00A15A62"/>
    <w:rsid w:val="00A74E6F"/>
    <w:rsid w:val="00A77D30"/>
    <w:rsid w:val="00A80761"/>
    <w:rsid w:val="00A85756"/>
    <w:rsid w:val="00AA41CB"/>
    <w:rsid w:val="00AC705B"/>
    <w:rsid w:val="00AE1F8B"/>
    <w:rsid w:val="00AF620D"/>
    <w:rsid w:val="00B169B0"/>
    <w:rsid w:val="00B249DF"/>
    <w:rsid w:val="00B37B9E"/>
    <w:rsid w:val="00B61B7A"/>
    <w:rsid w:val="00B631DC"/>
    <w:rsid w:val="00B63F87"/>
    <w:rsid w:val="00B6558B"/>
    <w:rsid w:val="00B80664"/>
    <w:rsid w:val="00BA447C"/>
    <w:rsid w:val="00BB0837"/>
    <w:rsid w:val="00BC0872"/>
    <w:rsid w:val="00BC7C61"/>
    <w:rsid w:val="00BD2CBF"/>
    <w:rsid w:val="00BD4DA5"/>
    <w:rsid w:val="00BD519F"/>
    <w:rsid w:val="00BD5A33"/>
    <w:rsid w:val="00BE6E82"/>
    <w:rsid w:val="00BF48F2"/>
    <w:rsid w:val="00BF5CBD"/>
    <w:rsid w:val="00C012E2"/>
    <w:rsid w:val="00C1089A"/>
    <w:rsid w:val="00C11067"/>
    <w:rsid w:val="00C12370"/>
    <w:rsid w:val="00C1673C"/>
    <w:rsid w:val="00C3058F"/>
    <w:rsid w:val="00C42DA0"/>
    <w:rsid w:val="00C577D7"/>
    <w:rsid w:val="00C75B41"/>
    <w:rsid w:val="00C93760"/>
    <w:rsid w:val="00CA7E65"/>
    <w:rsid w:val="00CB2F05"/>
    <w:rsid w:val="00CC33CB"/>
    <w:rsid w:val="00CC4C1F"/>
    <w:rsid w:val="00CF718A"/>
    <w:rsid w:val="00D024FA"/>
    <w:rsid w:val="00D038BD"/>
    <w:rsid w:val="00D1581F"/>
    <w:rsid w:val="00D17D1B"/>
    <w:rsid w:val="00D22D28"/>
    <w:rsid w:val="00D23C8B"/>
    <w:rsid w:val="00D32D41"/>
    <w:rsid w:val="00D611F2"/>
    <w:rsid w:val="00DA4690"/>
    <w:rsid w:val="00DB724D"/>
    <w:rsid w:val="00DC0F21"/>
    <w:rsid w:val="00DC23B4"/>
    <w:rsid w:val="00DC3B9D"/>
    <w:rsid w:val="00DE1DDB"/>
    <w:rsid w:val="00DE3050"/>
    <w:rsid w:val="00DF2148"/>
    <w:rsid w:val="00E12117"/>
    <w:rsid w:val="00E12AF8"/>
    <w:rsid w:val="00E12C1E"/>
    <w:rsid w:val="00E15B1E"/>
    <w:rsid w:val="00E334BE"/>
    <w:rsid w:val="00E3512B"/>
    <w:rsid w:val="00E5055A"/>
    <w:rsid w:val="00E509A4"/>
    <w:rsid w:val="00E6218C"/>
    <w:rsid w:val="00E656A8"/>
    <w:rsid w:val="00E65EE7"/>
    <w:rsid w:val="00E72C61"/>
    <w:rsid w:val="00E73D6E"/>
    <w:rsid w:val="00E83115"/>
    <w:rsid w:val="00EA17B4"/>
    <w:rsid w:val="00EA7288"/>
    <w:rsid w:val="00EE2084"/>
    <w:rsid w:val="00F1435B"/>
    <w:rsid w:val="00F2064A"/>
    <w:rsid w:val="00F35864"/>
    <w:rsid w:val="00F45629"/>
    <w:rsid w:val="00F85C37"/>
    <w:rsid w:val="00F92F5A"/>
    <w:rsid w:val="00FA37E5"/>
    <w:rsid w:val="00FA3FDC"/>
    <w:rsid w:val="00FA6989"/>
    <w:rsid w:val="00FB561C"/>
    <w:rsid w:val="00FC0DBB"/>
    <w:rsid w:val="00FC54D1"/>
    <w:rsid w:val="00FD1695"/>
    <w:rsid w:val="00FD1862"/>
    <w:rsid w:val="00FD70C5"/>
    <w:rsid w:val="00FE2112"/>
    <w:rsid w:val="00FF1FDF"/>
    <w:rsid w:val="038056AC"/>
    <w:rsid w:val="297D3A84"/>
    <w:rsid w:val="29B31E42"/>
    <w:rsid w:val="4A18197C"/>
    <w:rsid w:val="5D28055E"/>
    <w:rsid w:val="5E1722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qFormat/>
    <w:uiPriority w:val="99"/>
    <w:rPr>
      <w:sz w:val="21"/>
      <w:szCs w:val="21"/>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批注框文本 Char"/>
    <w:basedOn w:val="7"/>
    <w:link w:val="3"/>
    <w:semiHidden/>
    <w:qFormat/>
    <w:uiPriority w:val="99"/>
    <w:rPr>
      <w:sz w:val="18"/>
      <w:szCs w:val="18"/>
    </w:rPr>
  </w:style>
  <w:style w:type="paragraph" w:customStyle="1" w:styleId="12">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460A3-F0F1-451D-A19E-A17A4ABE616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45</Words>
  <Characters>257</Characters>
  <Lines>2</Lines>
  <Paragraphs>1</Paragraphs>
  <TotalTime>0</TotalTime>
  <ScaleCrop>false</ScaleCrop>
  <LinksUpToDate>false</LinksUpToDate>
  <CharactersWithSpaces>301</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2020-06-16T07:27:00Z</dcterms:created>
  <dc:creator>林艳</dc:creator>
  <cp:lastModifiedBy>Administrator</cp:lastModifiedBy>
  <cp:lastPrinted>2019-12-27T06:52:00Z</cp:lastPrinted>
  <dcterms:modified xsi:type="dcterms:W3CDTF">2022-09-13T00:33:47Z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7D7759622FA14DEB9283B245D23AB255</vt:lpwstr>
  </property>
</Properties>
</file>