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海蕴理财优选系列恒盈1号定期开放式净值型理财产品</w:t>
      </w:r>
    </w:p>
    <w:p>
      <w:pPr>
        <w:jc w:val="center"/>
        <w:rPr>
          <w:sz w:val="32"/>
          <w:szCs w:val="32"/>
        </w:rPr>
      </w:pPr>
      <w:r>
        <w:rPr>
          <w:rFonts w:hint="eastAsia" w:asciiTheme="majorEastAsia" w:hAnsiTheme="majorEastAsia" w:eastAsiaTheme="majorEastAsia"/>
          <w:b/>
          <w:sz w:val="32"/>
          <w:szCs w:val="32"/>
        </w:rPr>
        <w:t>净值公告</w:t>
      </w:r>
    </w:p>
    <w:p>
      <w:pPr>
        <w:rPr>
          <w:rFonts w:ascii="楷体" w:eastAsia="楷体" w:cs="楷体"/>
          <w:color w:val="000000"/>
          <w:kern w:val="0"/>
          <w:sz w:val="28"/>
          <w:szCs w:val="28"/>
          <w:lang w:val="zh-CN"/>
        </w:rPr>
      </w:pPr>
      <w:r>
        <w:rPr>
          <w:rFonts w:hint="eastAsia" w:ascii="楷体" w:eastAsia="楷体" w:cs="楷体"/>
          <w:color w:val="000000"/>
          <w:kern w:val="0"/>
          <w:sz w:val="28"/>
          <w:szCs w:val="28"/>
          <w:lang w:val="zh-CN"/>
        </w:rPr>
        <w:t>尊敬的投资者：</w:t>
      </w:r>
    </w:p>
    <w:p>
      <w:pPr>
        <w:ind w:firstLine="560" w:firstLineChars="200"/>
        <w:rPr>
          <w:rFonts w:ascii="楷体" w:eastAsia="楷体" w:cs="楷体"/>
          <w:color w:val="000000"/>
          <w:kern w:val="0"/>
          <w:sz w:val="28"/>
          <w:szCs w:val="28"/>
          <w:lang w:val="zh-CN"/>
        </w:rPr>
      </w:pPr>
      <w:r>
        <w:rPr>
          <w:rFonts w:hint="eastAsia" w:ascii="楷体" w:eastAsia="楷体" w:cs="楷体"/>
          <w:color w:val="000000"/>
          <w:kern w:val="0"/>
          <w:sz w:val="28"/>
          <w:szCs w:val="28"/>
          <w:lang w:val="zh-CN"/>
        </w:rPr>
        <w:t>截至</w:t>
      </w:r>
      <w:r>
        <w:rPr>
          <w:rFonts w:ascii="楷体" w:hAnsi="楷体" w:eastAsia="楷体" w:cs="楷体"/>
          <w:color w:val="000000"/>
          <w:sz w:val="28"/>
          <w:u w:val="none"/>
        </w:rPr>
        <w:t>2022年09月15日</w:t>
      </w:r>
      <w:r>
        <w:rPr>
          <w:rFonts w:hint="eastAsia" w:ascii="楷体" w:eastAsia="楷体" w:cs="楷体"/>
          <w:color w:val="000000"/>
          <w:kern w:val="0"/>
          <w:sz w:val="28"/>
          <w:szCs w:val="28"/>
          <w:lang w:val="zh-CN"/>
        </w:rPr>
        <w:t>，我行存续的</w:t>
      </w:r>
      <w:r>
        <w:rPr>
          <w:rFonts w:hint="eastAsia" w:ascii="楷体" w:eastAsia="楷体" w:cs="楷体" w:hAnsiTheme="minorHAnsi"/>
          <w:b w:val="0"/>
          <w:color w:val="000000"/>
          <w:kern w:val="0"/>
          <w:sz w:val="28"/>
          <w:szCs w:val="28"/>
          <w:lang w:val="zh-CN"/>
        </w:rPr>
        <w:t>海蕴理财优选系列</w:t>
      </w:r>
      <w:r>
        <w:rPr>
          <w:rFonts w:hint="eastAsia" w:ascii="楷体" w:eastAsia="楷体" w:cs="楷体"/>
          <w:color w:val="000000"/>
          <w:kern w:val="0"/>
          <w:sz w:val="28"/>
          <w:szCs w:val="28"/>
          <w:lang w:val="zh-CN"/>
        </w:rPr>
        <w:t>恒盈1号定期开放式净值型理财产品对应的净值如下：</w:t>
      </w:r>
    </w:p>
    <w:tbl>
      <w:tblPr>
        <w:tblStyle w:val="6"/>
        <w:tblW w:w="8789"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9"/>
        <w:gridCol w:w="1353"/>
        <w:gridCol w:w="1014"/>
        <w:gridCol w:w="1014"/>
        <w:gridCol w:w="1014"/>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402" w:type="dxa"/>
            <w:shd w:val="clear" w:color="auto" w:fill="auto"/>
            <w:vAlign w:val="center"/>
          </w:tcPr>
          <w:p>
            <w:pPr>
              <w:widowControl/>
              <w:jc w:val="center"/>
              <w:rPr>
                <w:b/>
                <w:bCs/>
                <w:color w:val="000000"/>
              </w:rPr>
            </w:pPr>
            <w:r>
              <w:rPr>
                <w:rFonts w:hint="eastAsia"/>
                <w:b/>
                <w:bCs/>
                <w:color w:val="000000"/>
              </w:rPr>
              <w:t>产品名称</w:t>
            </w:r>
          </w:p>
        </w:tc>
        <w:tc>
          <w:tcPr>
            <w:tcW w:w="1361" w:type="dxa"/>
            <w:shd w:val="clear" w:color="auto" w:fill="auto"/>
            <w:vAlign w:val="center"/>
          </w:tcPr>
          <w:p>
            <w:pPr>
              <w:widowControl/>
              <w:jc w:val="center"/>
              <w:rPr>
                <w:b/>
                <w:bCs/>
                <w:color w:val="000000"/>
              </w:rPr>
            </w:pPr>
            <w:r>
              <w:rPr>
                <w:rFonts w:hint="eastAsia"/>
                <w:b/>
                <w:bCs/>
                <w:color w:val="000000"/>
              </w:rPr>
              <w:t>净值日期</w:t>
            </w:r>
          </w:p>
        </w:tc>
        <w:tc>
          <w:tcPr>
            <w:tcW w:w="1020" w:type="dxa"/>
            <w:shd w:val="clear" w:color="auto" w:fill="auto"/>
            <w:vAlign w:val="center"/>
          </w:tcPr>
          <w:p>
            <w:pPr>
              <w:jc w:val="center"/>
              <w:rPr>
                <w:rFonts w:ascii="宋体" w:hAnsi="宋体" w:eastAsia="宋体" w:cs="宋体"/>
                <w:b/>
                <w:bCs/>
                <w:color w:val="000000"/>
                <w:sz w:val="24"/>
                <w:szCs w:val="24"/>
              </w:rPr>
            </w:pPr>
            <w:r>
              <w:rPr>
                <w:rFonts w:hint="eastAsia"/>
                <w:b/>
                <w:bCs/>
                <w:color w:val="000000"/>
              </w:rPr>
              <w:t>份额净值（元）</w:t>
            </w:r>
          </w:p>
        </w:tc>
        <w:tc>
          <w:tcPr>
            <w:tcW w:w="1020" w:type="dxa"/>
            <w:shd w:val="clear" w:color="auto" w:fill="auto"/>
            <w:vAlign w:val="center"/>
          </w:tcPr>
          <w:p>
            <w:pPr>
              <w:jc w:val="center"/>
              <w:rPr>
                <w:b/>
                <w:bCs/>
                <w:color w:val="000000"/>
              </w:rPr>
            </w:pPr>
            <w:r>
              <w:rPr>
                <w:rFonts w:hint="eastAsia"/>
                <w:b/>
                <w:bCs/>
                <w:color w:val="000000"/>
              </w:rPr>
              <w:t>份额累计净值（元）</w:t>
            </w:r>
          </w:p>
        </w:tc>
        <w:tc>
          <w:tcPr>
            <w:tcW w:w="1020" w:type="dxa"/>
            <w:vAlign w:val="center"/>
          </w:tcPr>
          <w:p>
            <w:pPr>
              <w:jc w:val="center"/>
              <w:rPr>
                <w:b/>
                <w:bCs/>
                <w:color w:val="000000"/>
              </w:rPr>
            </w:pPr>
            <w:r>
              <w:rPr>
                <w:rFonts w:hint="eastAsia"/>
                <w:b/>
                <w:bCs/>
                <w:color w:val="000000"/>
              </w:rPr>
              <w:t>申购价格（元/份）</w:t>
            </w:r>
          </w:p>
        </w:tc>
        <w:tc>
          <w:tcPr>
            <w:tcW w:w="1020" w:type="dxa"/>
            <w:vAlign w:val="center"/>
          </w:tcPr>
          <w:p>
            <w:pPr>
              <w:jc w:val="center"/>
              <w:rPr>
                <w:b/>
                <w:bCs/>
                <w:color w:val="000000"/>
              </w:rPr>
            </w:pPr>
            <w:r>
              <w:rPr>
                <w:rFonts w:hint="eastAsia"/>
                <w:b/>
                <w:bCs/>
                <w:color w:val="000000"/>
              </w:rPr>
              <w:t>赎回价格（元/份）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优选系列恒盈1号定期开放式净值型理财产品（3M）2019年第1期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2022-09-15</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1.0000</w:t>
            </w:r>
          </w:p>
        </w:tc>
        <w:tc>
          <w:tcPr>
            <w:tcW w:w="1020" w:type="dxa"/>
            <w:shd w:val="clear" w:color="auto" w:fill="auto"/>
            <w:vAlign w:val="center"/>
          </w:tcPr>
          <w:p>
            <w:pPr>
              <w:jc w:val="center"/>
              <w:rPr>
                <w:b/>
                <w:bCs/>
                <w:color w:val="000000"/>
              </w:rPr>
            </w:pPr>
            <w:r>
              <w:rPr>
                <w:rFonts w:ascii="Arial" w:hAnsi="Arial" w:eastAsia="宋体" w:cs="Arial"/>
                <w:kern w:val="0"/>
                <w:sz w:val="20"/>
                <w:szCs w:val="20"/>
              </w:rPr>
              <w:t>1.1106</w:t>
            </w:r>
          </w:p>
        </w:tc>
        <w:tc>
          <w:tcPr>
            <w:tcW w:w="1020" w:type="dxa"/>
            <w:vAlign w:val="center"/>
          </w:tcPr>
          <w:p>
            <w:pPr>
              <w:jc w:val="center"/>
              <w:rPr>
                <w:b/>
                <w:bCs/>
                <w:color w:val="000000"/>
              </w:rPr>
            </w:pPr>
            <w:r>
              <w:rPr>
                <w:rFonts w:ascii="Arial" w:hAnsi="Arial" w:eastAsia="宋体" w:cs="Arial"/>
                <w:kern w:val="0"/>
                <w:sz w:val="20"/>
                <w:szCs w:val="20"/>
              </w:rPr>
              <w:t>1.0000</w:t>
            </w:r>
          </w:p>
        </w:tc>
        <w:tc>
          <w:tcPr>
            <w:tcW w:w="1020" w:type="dxa"/>
            <w:vAlign w:val="center"/>
          </w:tcPr>
          <w:p>
            <w:pPr>
              <w:jc w:val="center"/>
              <w:rPr>
                <w:b/>
                <w:bCs/>
                <w:color w:val="000000"/>
              </w:rPr>
            </w:pPr>
            <w:r>
              <w:rPr>
                <w:rFonts w:ascii="Arial" w:hAnsi="Arial" w:eastAsia="宋体" w:cs="Arial"/>
                <w:kern w:val="0"/>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2022-09-15</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1.0073</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1.1085</w:t>
            </w:r>
          </w:p>
        </w:tc>
        <w:tc>
          <w:tcPr>
            <w:tcW w:w="1020" w:type="dxa"/>
            <w:vAlign w:val="center"/>
          </w:tcPr>
          <w:p>
            <w:pPr>
              <w:jc w:val="center"/>
              <w:rPr>
                <w:b/>
                <w:bCs/>
                <w:color w:val="000000"/>
              </w:rPr>
            </w:pPr>
            <w:r>
              <w:rPr>
                <w:rFonts w:ascii="Arial" w:hAnsi="Arial" w:eastAsia="宋体" w:cs="Arial"/>
                <w:kern w:val="0"/>
                <w:sz w:val="20"/>
                <w:szCs w:val="20"/>
              </w:rPr>
              <w:t>1.0073</w:t>
            </w:r>
          </w:p>
        </w:tc>
        <w:tc>
          <w:tcPr>
            <w:tcW w:w="1020" w:type="dxa"/>
            <w:vAlign w:val="center"/>
          </w:tcPr>
          <w:p>
            <w:pPr>
              <w:jc w:val="center"/>
              <w:rPr>
                <w:b/>
                <w:bCs/>
                <w:color w:val="000000"/>
              </w:rPr>
            </w:pPr>
            <w:r>
              <w:rPr>
                <w:rFonts w:ascii="Arial" w:hAnsi="Arial" w:eastAsia="宋体" w:cs="Arial"/>
                <w:kern w:val="0"/>
                <w:sz w:val="20"/>
                <w:szCs w:val="20"/>
              </w:rPr>
              <w:t>1.0073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2022-09-15</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1.0057</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1.1072</w:t>
            </w:r>
          </w:p>
        </w:tc>
        <w:tc>
          <w:tcPr>
            <w:tcW w:w="1020" w:type="dxa"/>
            <w:vAlign w:val="center"/>
          </w:tcPr>
          <w:p>
            <w:pPr>
              <w:jc w:val="center"/>
              <w:rPr>
                <w:b/>
                <w:bCs/>
                <w:color w:val="000000"/>
              </w:rPr>
            </w:pPr>
            <w:r>
              <w:rPr>
                <w:rFonts w:ascii="Arial" w:hAnsi="Arial" w:eastAsia="宋体" w:cs="Arial"/>
                <w:kern w:val="0"/>
                <w:sz w:val="20"/>
                <w:szCs w:val="20"/>
              </w:rPr>
              <w:t>1.0057</w:t>
            </w:r>
          </w:p>
        </w:tc>
        <w:tc>
          <w:tcPr>
            <w:tcW w:w="1020" w:type="dxa"/>
            <w:vAlign w:val="center"/>
          </w:tcPr>
          <w:p>
            <w:pPr>
              <w:jc w:val="center"/>
              <w:rPr>
                <w:b/>
                <w:bCs/>
                <w:color w:val="000000"/>
              </w:rPr>
            </w:pPr>
            <w:r>
              <w:rPr>
                <w:rFonts w:ascii="Arial" w:hAnsi="Arial" w:eastAsia="宋体" w:cs="Arial"/>
                <w:kern w:val="0"/>
                <w:sz w:val="20"/>
                <w:szCs w:val="20"/>
              </w:rPr>
              <w:t>1.0057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2022-09-15</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1.0027</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1.1029</w:t>
            </w:r>
          </w:p>
        </w:tc>
        <w:tc>
          <w:tcPr>
            <w:tcW w:w="1020" w:type="dxa"/>
            <w:vAlign w:val="center"/>
          </w:tcPr>
          <w:p>
            <w:pPr>
              <w:jc w:val="center"/>
              <w:rPr>
                <w:b/>
                <w:bCs/>
                <w:color w:val="000000"/>
              </w:rPr>
            </w:pPr>
            <w:r>
              <w:rPr>
                <w:rFonts w:ascii="Arial" w:hAnsi="Arial" w:eastAsia="宋体" w:cs="Arial"/>
                <w:kern w:val="0"/>
                <w:sz w:val="20"/>
                <w:szCs w:val="20"/>
              </w:rPr>
              <w:t>1.0027</w:t>
            </w:r>
          </w:p>
        </w:tc>
        <w:tc>
          <w:tcPr>
            <w:tcW w:w="1020" w:type="dxa"/>
            <w:vAlign w:val="center"/>
          </w:tcPr>
          <w:p>
            <w:pPr>
              <w:jc w:val="center"/>
              <w:rPr>
                <w:b/>
                <w:bCs/>
                <w:color w:val="000000"/>
              </w:rPr>
            </w:pPr>
            <w:r>
              <w:rPr>
                <w:rFonts w:ascii="Arial" w:hAnsi="Arial" w:eastAsia="宋体" w:cs="Arial"/>
                <w:kern w:val="0"/>
                <w:sz w:val="20"/>
                <w:szCs w:val="20"/>
              </w:rPr>
              <w:t>1.0027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优选系列恒盈1号定期开放式净值型理财产品（3M）2020年第4期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2022-09-15</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1.0023</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1.1030</w:t>
            </w:r>
          </w:p>
        </w:tc>
        <w:tc>
          <w:tcPr>
            <w:tcW w:w="1020" w:type="dxa"/>
            <w:vAlign w:val="center"/>
          </w:tcPr>
          <w:p>
            <w:pPr>
              <w:jc w:val="center"/>
              <w:rPr>
                <w:b/>
                <w:bCs/>
                <w:color w:val="000000"/>
              </w:rPr>
            </w:pPr>
            <w:r>
              <w:rPr>
                <w:rFonts w:ascii="Arial" w:hAnsi="Arial" w:eastAsia="宋体" w:cs="Arial"/>
                <w:kern w:val="0"/>
                <w:sz w:val="20"/>
                <w:szCs w:val="20"/>
              </w:rPr>
              <w:t>1.0023</w:t>
            </w:r>
          </w:p>
        </w:tc>
        <w:tc>
          <w:tcPr>
            <w:tcW w:w="1020" w:type="dxa"/>
            <w:vAlign w:val="center"/>
          </w:tcPr>
          <w:p>
            <w:pPr>
              <w:jc w:val="center"/>
              <w:rPr>
                <w:b/>
                <w:bCs/>
                <w:color w:val="000000"/>
              </w:rPr>
            </w:pPr>
            <w:r>
              <w:rPr>
                <w:rFonts w:ascii="Arial" w:hAnsi="Arial" w:eastAsia="宋体" w:cs="Arial"/>
                <w:kern w:val="0"/>
                <w:sz w:val="20"/>
                <w:szCs w:val="20"/>
              </w:rPr>
              <w:t>1.0023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优选系列恒盈1号定期开放式净值型理财产品（3M）2020年第5期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2022-09-15</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1.0017</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1.1018</w:t>
            </w:r>
          </w:p>
        </w:tc>
        <w:tc>
          <w:tcPr>
            <w:tcW w:w="1020" w:type="dxa"/>
            <w:vAlign w:val="center"/>
          </w:tcPr>
          <w:p>
            <w:pPr>
              <w:jc w:val="center"/>
              <w:rPr>
                <w:b/>
                <w:bCs/>
                <w:color w:val="000000"/>
              </w:rPr>
            </w:pPr>
            <w:r>
              <w:rPr>
                <w:rFonts w:ascii="Arial" w:hAnsi="Arial" w:eastAsia="宋体" w:cs="Arial"/>
                <w:kern w:val="0"/>
                <w:sz w:val="20"/>
                <w:szCs w:val="20"/>
              </w:rPr>
              <w:t>1.0017</w:t>
            </w:r>
          </w:p>
        </w:tc>
        <w:tc>
          <w:tcPr>
            <w:tcW w:w="1020" w:type="dxa"/>
            <w:vAlign w:val="center"/>
          </w:tcPr>
          <w:p>
            <w:pPr>
              <w:jc w:val="center"/>
              <w:rPr>
                <w:b/>
                <w:bCs/>
                <w:color w:val="000000"/>
              </w:rPr>
            </w:pPr>
            <w:r>
              <w:rPr>
                <w:rFonts w:ascii="Arial" w:hAnsi="Arial" w:eastAsia="宋体" w:cs="Arial"/>
                <w:kern w:val="0"/>
                <w:sz w:val="20"/>
                <w:szCs w:val="20"/>
              </w:rPr>
              <w:t>1.0017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优选系列恒盈1号定期开放式净值型理财产品（3M）2020年第6期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2022-09-15</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1.0015</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1.1013</w:t>
            </w:r>
          </w:p>
        </w:tc>
        <w:tc>
          <w:tcPr>
            <w:tcW w:w="1020" w:type="dxa"/>
            <w:vAlign w:val="center"/>
          </w:tcPr>
          <w:p>
            <w:pPr>
              <w:jc w:val="center"/>
              <w:rPr>
                <w:b/>
                <w:bCs/>
                <w:color w:val="000000"/>
              </w:rPr>
            </w:pPr>
            <w:r>
              <w:rPr>
                <w:rFonts w:ascii="Arial" w:hAnsi="Arial" w:eastAsia="宋体" w:cs="Arial"/>
                <w:kern w:val="0"/>
                <w:sz w:val="20"/>
                <w:szCs w:val="20"/>
              </w:rPr>
              <w:t>1.0015</w:t>
            </w:r>
          </w:p>
        </w:tc>
        <w:tc>
          <w:tcPr>
            <w:tcW w:w="1020" w:type="dxa"/>
            <w:vAlign w:val="center"/>
          </w:tcPr>
          <w:p>
            <w:pPr>
              <w:jc w:val="center"/>
              <w:rPr>
                <w:b/>
                <w:bCs/>
                <w:color w:val="000000"/>
              </w:rPr>
            </w:pPr>
            <w:r>
              <w:rPr>
                <w:rFonts w:ascii="Arial" w:hAnsi="Arial" w:eastAsia="宋体" w:cs="Arial"/>
                <w:kern w:val="0"/>
                <w:sz w:val="20"/>
                <w:szCs w:val="20"/>
              </w:rPr>
              <w:t>1.0015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优选系列恒盈1号定期开放式净值型理财产品（3M）2020年第7期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2022-09-15</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1.0008</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1.1006</w:t>
            </w:r>
          </w:p>
        </w:tc>
        <w:tc>
          <w:tcPr>
            <w:tcW w:w="1020" w:type="dxa"/>
            <w:vAlign w:val="center"/>
          </w:tcPr>
          <w:p>
            <w:pPr>
              <w:jc w:val="center"/>
              <w:rPr>
                <w:b/>
                <w:bCs/>
                <w:color w:val="000000"/>
              </w:rPr>
            </w:pPr>
            <w:r>
              <w:rPr>
                <w:rFonts w:ascii="Arial" w:hAnsi="Arial" w:eastAsia="宋体" w:cs="Arial"/>
                <w:kern w:val="0"/>
                <w:sz w:val="20"/>
                <w:szCs w:val="20"/>
              </w:rPr>
              <w:t>1.0008</w:t>
            </w:r>
          </w:p>
        </w:tc>
        <w:tc>
          <w:tcPr>
            <w:tcW w:w="1020" w:type="dxa"/>
            <w:vAlign w:val="center"/>
          </w:tcPr>
          <w:p>
            <w:pPr>
              <w:jc w:val="center"/>
              <w:rPr>
                <w:b/>
                <w:bCs/>
                <w:color w:val="000000"/>
              </w:rPr>
            </w:pPr>
            <w:r>
              <w:rPr>
                <w:rFonts w:ascii="Arial" w:hAnsi="Arial" w:eastAsia="宋体" w:cs="Arial"/>
                <w:kern w:val="0"/>
                <w:sz w:val="20"/>
                <w:szCs w:val="20"/>
              </w:rPr>
              <w:t>1.0008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优选系列恒盈1号定期开放式净值型理财产品（3M）2020年第8期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2022-09-15</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1.0088</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1.0997</w:t>
            </w:r>
          </w:p>
        </w:tc>
        <w:tc>
          <w:tcPr>
            <w:tcW w:w="1020" w:type="dxa"/>
            <w:vAlign w:val="center"/>
          </w:tcPr>
          <w:p>
            <w:pPr>
              <w:jc w:val="center"/>
              <w:rPr>
                <w:b/>
                <w:bCs/>
                <w:color w:val="000000"/>
              </w:rPr>
            </w:pPr>
            <w:r>
              <w:rPr>
                <w:rFonts w:ascii="Arial" w:hAnsi="Arial" w:eastAsia="宋体" w:cs="Arial"/>
                <w:kern w:val="0"/>
                <w:sz w:val="20"/>
                <w:szCs w:val="20"/>
              </w:rPr>
              <w:t>1.0088</w:t>
            </w:r>
          </w:p>
        </w:tc>
        <w:tc>
          <w:tcPr>
            <w:tcW w:w="1020" w:type="dxa"/>
            <w:vAlign w:val="center"/>
          </w:tcPr>
          <w:p>
            <w:pPr>
              <w:jc w:val="center"/>
              <w:rPr>
                <w:b/>
                <w:bCs/>
                <w:color w:val="000000"/>
              </w:rPr>
            </w:pPr>
            <w:r>
              <w:rPr>
                <w:rFonts w:ascii="Arial" w:hAnsi="Arial" w:eastAsia="宋体" w:cs="Arial"/>
                <w:kern w:val="0"/>
                <w:sz w:val="20"/>
                <w:szCs w:val="20"/>
              </w:rPr>
              <w:t>1.0088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优选系列恒盈1号定期开放式净值型理财产品（3M）2020年第9期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2022-09-15</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1.0080</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1.0993</w:t>
            </w:r>
          </w:p>
        </w:tc>
        <w:tc>
          <w:tcPr>
            <w:tcW w:w="1020" w:type="dxa"/>
            <w:vAlign w:val="center"/>
          </w:tcPr>
          <w:p>
            <w:pPr>
              <w:jc w:val="center"/>
              <w:rPr>
                <w:b/>
                <w:bCs/>
                <w:color w:val="000000"/>
              </w:rPr>
            </w:pPr>
            <w:r>
              <w:rPr>
                <w:rFonts w:ascii="Arial" w:hAnsi="Arial" w:eastAsia="宋体" w:cs="Arial"/>
                <w:kern w:val="0"/>
                <w:sz w:val="20"/>
                <w:szCs w:val="20"/>
              </w:rPr>
              <w:t>1.0080</w:t>
            </w:r>
          </w:p>
        </w:tc>
        <w:tc>
          <w:tcPr>
            <w:tcW w:w="1020" w:type="dxa"/>
            <w:vAlign w:val="center"/>
          </w:tcPr>
          <w:p>
            <w:pPr>
              <w:jc w:val="center"/>
              <w:rPr>
                <w:b/>
                <w:bCs/>
                <w:color w:val="000000"/>
              </w:rPr>
            </w:pPr>
            <w:r>
              <w:rPr>
                <w:rFonts w:ascii="Arial" w:hAnsi="Arial" w:eastAsia="宋体" w:cs="Arial"/>
                <w:kern w:val="0"/>
                <w:sz w:val="20"/>
                <w:szCs w:val="20"/>
              </w:rPr>
              <w:t>1.0080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2022-09-15</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1.0050</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1.0950</w:t>
            </w:r>
          </w:p>
        </w:tc>
        <w:tc>
          <w:tcPr>
            <w:tcW w:w="1020" w:type="dxa"/>
            <w:vAlign w:val="center"/>
          </w:tcPr>
          <w:p>
            <w:pPr>
              <w:jc w:val="center"/>
              <w:rPr>
                <w:b/>
                <w:bCs/>
                <w:color w:val="000000"/>
              </w:rPr>
            </w:pPr>
            <w:r>
              <w:rPr>
                <w:rFonts w:ascii="Arial" w:hAnsi="Arial" w:eastAsia="宋体" w:cs="Arial"/>
                <w:kern w:val="0"/>
                <w:sz w:val="20"/>
                <w:szCs w:val="20"/>
              </w:rPr>
              <w:t>1.0050</w:t>
            </w:r>
          </w:p>
        </w:tc>
        <w:tc>
          <w:tcPr>
            <w:tcW w:w="1020" w:type="dxa"/>
            <w:vAlign w:val="center"/>
          </w:tcPr>
          <w:p>
            <w:pPr>
              <w:jc w:val="center"/>
              <w:rPr>
                <w:b/>
                <w:bCs/>
                <w:color w:val="000000"/>
              </w:rPr>
            </w:pPr>
            <w:r>
              <w:rPr>
                <w:rFonts w:ascii="Arial" w:hAnsi="Arial" w:eastAsia="宋体" w:cs="Arial"/>
                <w:kern w:val="0"/>
                <w:sz w:val="20"/>
                <w:szCs w:val="20"/>
              </w:rPr>
              <w:t>1.0050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2022-09-15</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1.0037</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1.0934</w:t>
            </w:r>
          </w:p>
        </w:tc>
        <w:tc>
          <w:tcPr>
            <w:tcW w:w="1020" w:type="dxa"/>
            <w:vAlign w:val="center"/>
          </w:tcPr>
          <w:p>
            <w:pPr>
              <w:jc w:val="center"/>
              <w:rPr>
                <w:b/>
                <w:bCs/>
                <w:color w:val="000000"/>
              </w:rPr>
            </w:pPr>
            <w:r>
              <w:rPr>
                <w:rFonts w:ascii="Arial" w:hAnsi="Arial" w:eastAsia="宋体" w:cs="Arial"/>
                <w:kern w:val="0"/>
                <w:sz w:val="20"/>
                <w:szCs w:val="20"/>
              </w:rPr>
              <w:t>1.0037</w:t>
            </w:r>
          </w:p>
        </w:tc>
        <w:tc>
          <w:tcPr>
            <w:tcW w:w="1020" w:type="dxa"/>
            <w:vAlign w:val="center"/>
          </w:tcPr>
          <w:p>
            <w:pPr>
              <w:jc w:val="center"/>
              <w:rPr>
                <w:b/>
                <w:bCs/>
                <w:color w:val="000000"/>
              </w:rPr>
            </w:pPr>
            <w:r>
              <w:rPr>
                <w:rFonts w:ascii="Arial" w:hAnsi="Arial" w:eastAsia="宋体" w:cs="Arial"/>
                <w:kern w:val="0"/>
                <w:sz w:val="20"/>
                <w:szCs w:val="20"/>
              </w:rPr>
              <w:t>1.0037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2022-09-15</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1.0065</w:t>
            </w:r>
          </w:p>
        </w:tc>
        <w:tc>
          <w:tcPr>
            <w:tcW w:w="1020" w:type="dxa"/>
            <w:shd w:val="clear" w:color="auto" w:fill="auto"/>
            <w:vAlign w:val="center"/>
          </w:tcPr>
          <w:p>
            <w:pPr>
              <w:jc w:val="center"/>
              <w:rPr>
                <w:b/>
                <w:bCs/>
                <w:color w:val="000000"/>
              </w:rPr>
            </w:pPr>
            <w:r>
              <w:rPr>
                <w:rFonts w:ascii="Arial" w:hAnsi="Arial" w:eastAsia="宋体" w:cs="Arial"/>
                <w:kern w:val="0"/>
                <w:sz w:val="20"/>
                <w:szCs w:val="20"/>
              </w:rPr>
              <w:t>1.0861</w:t>
            </w:r>
          </w:p>
        </w:tc>
        <w:tc>
          <w:tcPr>
            <w:tcW w:w="1020" w:type="dxa"/>
            <w:vAlign w:val="center"/>
          </w:tcPr>
          <w:p>
            <w:pPr>
              <w:jc w:val="center"/>
              <w:rPr>
                <w:b/>
                <w:bCs/>
                <w:color w:val="000000"/>
              </w:rPr>
            </w:pPr>
            <w:r>
              <w:rPr>
                <w:rFonts w:ascii="Arial" w:hAnsi="Arial" w:eastAsia="宋体" w:cs="Arial"/>
                <w:kern w:val="0"/>
                <w:sz w:val="20"/>
                <w:szCs w:val="20"/>
              </w:rPr>
              <w:t>1.0065</w:t>
            </w:r>
          </w:p>
        </w:tc>
        <w:tc>
          <w:tcPr>
            <w:tcW w:w="1020" w:type="dxa"/>
            <w:vAlign w:val="center"/>
          </w:tcPr>
          <w:p>
            <w:pPr>
              <w:jc w:val="center"/>
              <w:rPr>
                <w:b/>
                <w:bCs/>
                <w:color w:val="000000"/>
              </w:rPr>
            </w:pPr>
            <w:r>
              <w:rPr>
                <w:rFonts w:ascii="Arial" w:hAnsi="Arial" w:eastAsia="宋体" w:cs="Arial"/>
                <w:kern w:val="0"/>
                <w:sz w:val="20"/>
                <w:szCs w:val="20"/>
              </w:rPr>
              <w:t>1.0065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2022-09-15</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1.0007</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1.0524</w:t>
            </w:r>
          </w:p>
        </w:tc>
        <w:tc>
          <w:tcPr>
            <w:tcW w:w="1020" w:type="dxa"/>
            <w:vAlign w:val="center"/>
          </w:tcPr>
          <w:p>
            <w:pPr>
              <w:jc w:val="center"/>
              <w:rPr>
                <w:b/>
                <w:bCs/>
                <w:color w:val="000000"/>
              </w:rPr>
            </w:pPr>
            <w:r>
              <w:rPr>
                <w:rFonts w:ascii="Arial" w:hAnsi="Arial" w:eastAsia="宋体" w:cs="Arial"/>
                <w:kern w:val="0"/>
                <w:sz w:val="20"/>
                <w:szCs w:val="20"/>
              </w:rPr>
              <w:t>1.0007</w:t>
            </w:r>
          </w:p>
        </w:tc>
        <w:tc>
          <w:tcPr>
            <w:tcW w:w="1020" w:type="dxa"/>
            <w:vAlign w:val="center"/>
          </w:tcPr>
          <w:p>
            <w:pPr>
              <w:jc w:val="center"/>
              <w:rPr>
                <w:b/>
                <w:bCs/>
                <w:color w:val="000000"/>
              </w:rPr>
            </w:pPr>
            <w:r>
              <w:rPr>
                <w:rFonts w:ascii="Arial" w:hAnsi="Arial" w:eastAsia="宋体" w:cs="Arial"/>
                <w:kern w:val="0"/>
                <w:sz w:val="20"/>
                <w:szCs w:val="20"/>
              </w:rPr>
              <w:t>1.0007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2022-09-15</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0.9999</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1.0513</w:t>
            </w:r>
          </w:p>
        </w:tc>
        <w:tc>
          <w:tcPr>
            <w:tcW w:w="1020" w:type="dxa"/>
            <w:vAlign w:val="center"/>
          </w:tcPr>
          <w:p>
            <w:pPr>
              <w:jc w:val="center"/>
              <w:rPr>
                <w:b/>
                <w:bCs/>
                <w:color w:val="000000"/>
              </w:rPr>
            </w:pPr>
            <w:r>
              <w:rPr>
                <w:rFonts w:ascii="Arial" w:hAnsi="Arial" w:eastAsia="宋体" w:cs="Arial"/>
                <w:kern w:val="0"/>
                <w:sz w:val="20"/>
                <w:szCs w:val="20"/>
              </w:rPr>
              <w:t>0.9999</w:t>
            </w:r>
          </w:p>
        </w:tc>
        <w:tc>
          <w:tcPr>
            <w:tcW w:w="1020" w:type="dxa"/>
            <w:vAlign w:val="center"/>
          </w:tcPr>
          <w:p>
            <w:pPr>
              <w:jc w:val="center"/>
              <w:rPr>
                <w:b/>
                <w:bCs/>
                <w:color w:val="000000"/>
              </w:rPr>
            </w:pPr>
            <w:r>
              <w:rPr>
                <w:rFonts w:ascii="Arial" w:hAnsi="Arial" w:eastAsia="宋体" w:cs="Arial"/>
                <w:kern w:val="0"/>
                <w:sz w:val="20"/>
                <w:szCs w:val="20"/>
              </w:rPr>
              <w:t>0.9999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2022-09-15</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1.0021</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1.0508</w:t>
            </w:r>
          </w:p>
        </w:tc>
        <w:tc>
          <w:tcPr>
            <w:tcW w:w="1020" w:type="dxa"/>
            <w:vAlign w:val="center"/>
          </w:tcPr>
          <w:p>
            <w:pPr>
              <w:jc w:val="center"/>
              <w:rPr>
                <w:b/>
                <w:bCs/>
                <w:color w:val="000000"/>
              </w:rPr>
            </w:pPr>
            <w:r>
              <w:rPr>
                <w:rFonts w:ascii="Arial" w:hAnsi="Arial" w:eastAsia="宋体" w:cs="Arial"/>
                <w:kern w:val="0"/>
                <w:sz w:val="20"/>
                <w:szCs w:val="20"/>
              </w:rPr>
              <w:t>1.0021</w:t>
            </w:r>
          </w:p>
        </w:tc>
        <w:tc>
          <w:tcPr>
            <w:tcW w:w="1020" w:type="dxa"/>
            <w:vAlign w:val="center"/>
          </w:tcPr>
          <w:p>
            <w:pPr>
              <w:jc w:val="center"/>
              <w:rPr>
                <w:b/>
                <w:bCs/>
                <w:color w:val="000000"/>
              </w:rPr>
            </w:pPr>
            <w:r>
              <w:rPr>
                <w:rFonts w:ascii="Arial" w:hAnsi="Arial" w:eastAsia="宋体" w:cs="Arial"/>
                <w:kern w:val="0"/>
                <w:sz w:val="20"/>
                <w:szCs w:val="20"/>
              </w:rPr>
              <w:t>1.0021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优选系列恒盈1号定期开放式净值型理财产品（1M）2021年第4期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2022-09-15</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1.0020</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1.0508</w:t>
            </w:r>
          </w:p>
        </w:tc>
        <w:tc>
          <w:tcPr>
            <w:tcW w:w="1020" w:type="dxa"/>
            <w:vAlign w:val="center"/>
          </w:tcPr>
          <w:p>
            <w:pPr>
              <w:jc w:val="center"/>
              <w:rPr>
                <w:b/>
                <w:bCs/>
                <w:color w:val="000000"/>
              </w:rPr>
            </w:pPr>
            <w:r>
              <w:rPr>
                <w:rFonts w:ascii="Arial" w:hAnsi="Arial" w:eastAsia="宋体" w:cs="Arial"/>
                <w:kern w:val="0"/>
                <w:sz w:val="20"/>
                <w:szCs w:val="20"/>
              </w:rPr>
              <w:t>1.0020</w:t>
            </w:r>
          </w:p>
        </w:tc>
        <w:tc>
          <w:tcPr>
            <w:tcW w:w="1020" w:type="dxa"/>
            <w:vAlign w:val="center"/>
          </w:tcPr>
          <w:p>
            <w:pPr>
              <w:jc w:val="center"/>
              <w:rPr>
                <w:b/>
                <w:bCs/>
                <w:color w:val="000000"/>
              </w:rPr>
            </w:pPr>
            <w:r>
              <w:rPr>
                <w:rFonts w:ascii="Arial" w:hAnsi="Arial" w:eastAsia="宋体" w:cs="Arial"/>
                <w:kern w:val="0"/>
                <w:sz w:val="20"/>
                <w:szCs w:val="20"/>
              </w:rPr>
              <w:t>1.0020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优选系列恒盈1号定期开放式净值型理财产品（1M）2021年第5期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2022-09-15</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1.0013</w:t>
            </w:r>
          </w:p>
        </w:tc>
        <w:tc>
          <w:tcPr>
            <w:tcW w:w="1020" w:type="dxa"/>
            <w:shd w:val="clear" w:color="auto" w:fill="auto"/>
            <w:vAlign w:val="center"/>
          </w:tcPr>
          <w:p>
            <w:pPr>
              <w:jc w:val="center"/>
              <w:rPr>
                <w:b/>
                <w:bCs/>
                <w:color w:val="000000"/>
              </w:rPr>
            </w:pPr>
            <w:r>
              <w:rPr>
                <w:rFonts w:ascii="Arial" w:hAnsi="Arial" w:eastAsia="宋体" w:cs="Arial"/>
                <w:kern w:val="0"/>
                <w:sz w:val="20"/>
                <w:szCs w:val="20"/>
              </w:rPr>
              <w:t>1.0499</w:t>
            </w:r>
          </w:p>
        </w:tc>
        <w:tc>
          <w:tcPr>
            <w:tcW w:w="1020" w:type="dxa"/>
            <w:vAlign w:val="center"/>
          </w:tcPr>
          <w:p>
            <w:pPr>
              <w:jc w:val="center"/>
              <w:rPr>
                <w:b/>
                <w:bCs/>
                <w:color w:val="000000"/>
              </w:rPr>
            </w:pPr>
            <w:r>
              <w:rPr>
                <w:rFonts w:ascii="Arial" w:hAnsi="Arial" w:eastAsia="宋体" w:cs="Arial"/>
                <w:kern w:val="0"/>
                <w:sz w:val="20"/>
                <w:szCs w:val="20"/>
              </w:rPr>
              <w:t>1.0013</w:t>
            </w:r>
          </w:p>
        </w:tc>
        <w:tc>
          <w:tcPr>
            <w:tcW w:w="1020" w:type="dxa"/>
            <w:vAlign w:val="center"/>
          </w:tcPr>
          <w:p>
            <w:pPr>
              <w:jc w:val="center"/>
              <w:rPr>
                <w:b/>
                <w:bCs/>
                <w:color w:val="000000"/>
              </w:rPr>
            </w:pPr>
            <w:r>
              <w:rPr>
                <w:rFonts w:ascii="Arial" w:hAnsi="Arial" w:eastAsia="宋体" w:cs="Arial"/>
                <w:kern w:val="0"/>
                <w:sz w:val="20"/>
                <w:szCs w:val="20"/>
              </w:rPr>
              <w:t>1.0013</w:t>
            </w:r>
          </w:p>
        </w:tc>
      </w:tr>
    </w:tbl>
    <w:p>
      <w:pPr>
        <w:ind w:firstLine="360" w:firstLineChars="150"/>
        <w:rPr>
          <w:sz w:val="24"/>
          <w:szCs w:val="24"/>
        </w:rPr>
      </w:pPr>
    </w:p>
    <w:p>
      <w:pPr>
        <w:jc w:val="left"/>
        <w:rPr>
          <w:rFonts w:hint="eastAsia" w:ascii="楷体" w:eastAsia="楷体" w:cs="楷体"/>
          <w:color w:val="000000"/>
          <w:kern w:val="0"/>
          <w:sz w:val="28"/>
          <w:szCs w:val="28"/>
          <w:lang w:val="zh-CN"/>
        </w:rPr>
      </w:pPr>
      <w:r>
        <w:rPr>
          <w:rFonts w:hint="eastAsia" w:ascii="楷体" w:eastAsia="楷体" w:cs="楷体"/>
          <w:color w:val="000000"/>
          <w:kern w:val="0"/>
          <w:sz w:val="28"/>
          <w:szCs w:val="28"/>
          <w:lang w:val="zh-CN"/>
        </w:rPr>
        <w:t>注：</w:t>
      </w:r>
    </w:p>
    <w:p>
      <w:pPr>
        <w:ind w:firstLine="560" w:firstLineChars="200"/>
        <w:jc w:val="left"/>
        <w:rPr>
          <w:rFonts w:ascii="楷体" w:eastAsia="楷体" w:cs="楷体"/>
          <w:color w:val="000000"/>
          <w:kern w:val="0"/>
          <w:sz w:val="28"/>
          <w:szCs w:val="28"/>
          <w:lang w:val="zh-CN"/>
        </w:rPr>
      </w:pPr>
      <w:r>
        <w:rPr>
          <w:rFonts w:hint="eastAsia" w:ascii="楷体" w:eastAsia="楷体" w:cs="楷体"/>
          <w:color w:val="000000"/>
          <w:kern w:val="0"/>
          <w:sz w:val="28"/>
          <w:szCs w:val="28"/>
          <w:lang w:val="zh-CN"/>
        </w:rPr>
        <w:t>上述理财产品在预约申购开放期和预约赎回开放期仅支持投资者办理预约申购申请和预约赎回申请，该期间展示的申购价格和赎回价格为当日的产品份额净值，仅作为投资者办理预约申购申请和预约赎回申请的参考，实际申购价格和赎回价格为申购确认日/赎回确认日前一日的产品份额净值。</w:t>
      </w:r>
    </w:p>
    <w:p>
      <w:pPr>
        <w:jc w:val="right"/>
        <w:rPr>
          <w:rFonts w:hint="eastAsia" w:ascii="楷体" w:hAnsi="楷体" w:eastAsia="楷体" w:cs="楷体"/>
          <w:sz w:val="28"/>
          <w:szCs w:val="28"/>
          <w:lang w:eastAsia="zh-CN"/>
        </w:rPr>
      </w:pPr>
      <w:r>
        <w:rPr>
          <w:rFonts w:hint="eastAsia" w:ascii="楷体" w:hAnsi="楷体" w:eastAsia="楷体" w:cs="楷体"/>
          <w:sz w:val="28"/>
          <w:szCs w:val="28"/>
        </w:rPr>
        <w:t>福建海峡银行</w:t>
      </w:r>
      <w:r>
        <w:rPr>
          <w:rFonts w:hint="eastAsia" w:ascii="楷体" w:hAnsi="楷体" w:eastAsia="楷体" w:cs="楷体"/>
          <w:sz w:val="28"/>
          <w:szCs w:val="28"/>
          <w:lang w:eastAsia="zh-CN"/>
        </w:rPr>
        <w:t>股份有限公司</w:t>
      </w:r>
    </w:p>
    <w:p>
      <w:pPr>
        <w:ind w:right="-197" w:rightChars="-94" w:firstLine="5600" w:firstLineChars="2000"/>
        <w:jc w:val="both"/>
        <w:rPr>
          <w:rFonts w:hint="eastAsia" w:ascii="楷体" w:hAnsi="楷体" w:eastAsia="楷体" w:cs="楷体"/>
          <w:sz w:val="28"/>
          <w:szCs w:val="28"/>
        </w:rPr>
      </w:pPr>
      <w:bookmarkStart w:id="0" w:name="_GoBack"/>
      <w:bookmarkEnd w:id="0"/>
      <w:r>
        <w:rPr>
          <w:rFonts w:hint="eastAsia" w:ascii="楷体" w:hAnsi="楷体" w:eastAsia="楷体" w:cs="楷体"/>
          <w:sz w:val="28"/>
          <w:szCs w:val="28"/>
        </w:rPr>
        <w:t>2022年09月16日</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012E2"/>
    <w:rsid w:val="000151F6"/>
    <w:rsid w:val="00026686"/>
    <w:rsid w:val="00034A4A"/>
    <w:rsid w:val="000353DF"/>
    <w:rsid w:val="00071130"/>
    <w:rsid w:val="00097895"/>
    <w:rsid w:val="000D118F"/>
    <w:rsid w:val="000E0018"/>
    <w:rsid w:val="0011760A"/>
    <w:rsid w:val="001260D0"/>
    <w:rsid w:val="001537EC"/>
    <w:rsid w:val="001660A4"/>
    <w:rsid w:val="00175C8A"/>
    <w:rsid w:val="001762CB"/>
    <w:rsid w:val="001776E9"/>
    <w:rsid w:val="001B0C63"/>
    <w:rsid w:val="001D40FF"/>
    <w:rsid w:val="001E6A5E"/>
    <w:rsid w:val="001F3140"/>
    <w:rsid w:val="001F37A2"/>
    <w:rsid w:val="00202685"/>
    <w:rsid w:val="00203EE5"/>
    <w:rsid w:val="00213F78"/>
    <w:rsid w:val="002178DA"/>
    <w:rsid w:val="00222200"/>
    <w:rsid w:val="002357BC"/>
    <w:rsid w:val="0024095F"/>
    <w:rsid w:val="00251DFE"/>
    <w:rsid w:val="00256666"/>
    <w:rsid w:val="002D1431"/>
    <w:rsid w:val="002E04EC"/>
    <w:rsid w:val="002E378F"/>
    <w:rsid w:val="00312652"/>
    <w:rsid w:val="00312BDE"/>
    <w:rsid w:val="00332915"/>
    <w:rsid w:val="00354CC5"/>
    <w:rsid w:val="00377E85"/>
    <w:rsid w:val="00382A66"/>
    <w:rsid w:val="003A1318"/>
    <w:rsid w:val="003D79DF"/>
    <w:rsid w:val="00402D4A"/>
    <w:rsid w:val="00420343"/>
    <w:rsid w:val="00422505"/>
    <w:rsid w:val="004332E3"/>
    <w:rsid w:val="004353E0"/>
    <w:rsid w:val="00446AB0"/>
    <w:rsid w:val="0046043B"/>
    <w:rsid w:val="00481735"/>
    <w:rsid w:val="00496755"/>
    <w:rsid w:val="004C37EB"/>
    <w:rsid w:val="00511251"/>
    <w:rsid w:val="0051139B"/>
    <w:rsid w:val="00547FD2"/>
    <w:rsid w:val="005742AA"/>
    <w:rsid w:val="005853E4"/>
    <w:rsid w:val="005B2B19"/>
    <w:rsid w:val="005B743E"/>
    <w:rsid w:val="005C646D"/>
    <w:rsid w:val="005D51C1"/>
    <w:rsid w:val="005D7BF9"/>
    <w:rsid w:val="005E6649"/>
    <w:rsid w:val="00623115"/>
    <w:rsid w:val="0062591C"/>
    <w:rsid w:val="00640B24"/>
    <w:rsid w:val="0065005B"/>
    <w:rsid w:val="00677524"/>
    <w:rsid w:val="0068481D"/>
    <w:rsid w:val="00684831"/>
    <w:rsid w:val="00684E79"/>
    <w:rsid w:val="006930D4"/>
    <w:rsid w:val="006A18CF"/>
    <w:rsid w:val="006B0184"/>
    <w:rsid w:val="006B4C62"/>
    <w:rsid w:val="006B4FAB"/>
    <w:rsid w:val="006C44EE"/>
    <w:rsid w:val="006F5E9A"/>
    <w:rsid w:val="00714E0D"/>
    <w:rsid w:val="00742FE9"/>
    <w:rsid w:val="0076660F"/>
    <w:rsid w:val="00780F6D"/>
    <w:rsid w:val="007978B2"/>
    <w:rsid w:val="007A3C73"/>
    <w:rsid w:val="007C4906"/>
    <w:rsid w:val="007D4441"/>
    <w:rsid w:val="0081314A"/>
    <w:rsid w:val="00817674"/>
    <w:rsid w:val="008316A3"/>
    <w:rsid w:val="0084196F"/>
    <w:rsid w:val="00845F7C"/>
    <w:rsid w:val="008467A2"/>
    <w:rsid w:val="008841F6"/>
    <w:rsid w:val="00896C66"/>
    <w:rsid w:val="0089727C"/>
    <w:rsid w:val="008A3645"/>
    <w:rsid w:val="008B1874"/>
    <w:rsid w:val="008C3439"/>
    <w:rsid w:val="008D215B"/>
    <w:rsid w:val="008E6E6A"/>
    <w:rsid w:val="009055B6"/>
    <w:rsid w:val="00935C6F"/>
    <w:rsid w:val="009516A8"/>
    <w:rsid w:val="00951B3D"/>
    <w:rsid w:val="009637EA"/>
    <w:rsid w:val="00974A52"/>
    <w:rsid w:val="00996DD8"/>
    <w:rsid w:val="009C2884"/>
    <w:rsid w:val="009C5EC2"/>
    <w:rsid w:val="009D4C4F"/>
    <w:rsid w:val="009D72D8"/>
    <w:rsid w:val="009E4608"/>
    <w:rsid w:val="00A12D58"/>
    <w:rsid w:val="00A15A62"/>
    <w:rsid w:val="00A74E6F"/>
    <w:rsid w:val="00A77D30"/>
    <w:rsid w:val="00A80761"/>
    <w:rsid w:val="00A85756"/>
    <w:rsid w:val="00AA41CB"/>
    <w:rsid w:val="00AC705B"/>
    <w:rsid w:val="00AE1F8B"/>
    <w:rsid w:val="00AF620D"/>
    <w:rsid w:val="00B169B0"/>
    <w:rsid w:val="00B249DF"/>
    <w:rsid w:val="00B37B9E"/>
    <w:rsid w:val="00B61B7A"/>
    <w:rsid w:val="00B631DC"/>
    <w:rsid w:val="00B63F87"/>
    <w:rsid w:val="00B6558B"/>
    <w:rsid w:val="00B80664"/>
    <w:rsid w:val="00BA447C"/>
    <w:rsid w:val="00BB0837"/>
    <w:rsid w:val="00BC0872"/>
    <w:rsid w:val="00BC7C61"/>
    <w:rsid w:val="00BD2CBF"/>
    <w:rsid w:val="00BD4DA5"/>
    <w:rsid w:val="00BD519F"/>
    <w:rsid w:val="00BD5A33"/>
    <w:rsid w:val="00BE6E82"/>
    <w:rsid w:val="00BF48F2"/>
    <w:rsid w:val="00BF5CBD"/>
    <w:rsid w:val="00C012E2"/>
    <w:rsid w:val="00C1089A"/>
    <w:rsid w:val="00C11067"/>
    <w:rsid w:val="00C12370"/>
    <w:rsid w:val="00C1673C"/>
    <w:rsid w:val="00C3058F"/>
    <w:rsid w:val="00C42DA0"/>
    <w:rsid w:val="00C577D7"/>
    <w:rsid w:val="00C75B41"/>
    <w:rsid w:val="00C93760"/>
    <w:rsid w:val="00CA7E65"/>
    <w:rsid w:val="00CB2F05"/>
    <w:rsid w:val="00CC33CB"/>
    <w:rsid w:val="00CC4C1F"/>
    <w:rsid w:val="00CF718A"/>
    <w:rsid w:val="00D024FA"/>
    <w:rsid w:val="00D038BD"/>
    <w:rsid w:val="00D1581F"/>
    <w:rsid w:val="00D17D1B"/>
    <w:rsid w:val="00D22D28"/>
    <w:rsid w:val="00D23C8B"/>
    <w:rsid w:val="00D32D41"/>
    <w:rsid w:val="00D611F2"/>
    <w:rsid w:val="00DA4690"/>
    <w:rsid w:val="00DB724D"/>
    <w:rsid w:val="00DC0F21"/>
    <w:rsid w:val="00DC23B4"/>
    <w:rsid w:val="00DC3B9D"/>
    <w:rsid w:val="00DE1DDB"/>
    <w:rsid w:val="00DE3050"/>
    <w:rsid w:val="00DF2148"/>
    <w:rsid w:val="00E12117"/>
    <w:rsid w:val="00E12AF8"/>
    <w:rsid w:val="00E12C1E"/>
    <w:rsid w:val="00E15B1E"/>
    <w:rsid w:val="00E334BE"/>
    <w:rsid w:val="00E3512B"/>
    <w:rsid w:val="00E5055A"/>
    <w:rsid w:val="00E509A4"/>
    <w:rsid w:val="00E6218C"/>
    <w:rsid w:val="00E656A8"/>
    <w:rsid w:val="00E65EE7"/>
    <w:rsid w:val="00E72C61"/>
    <w:rsid w:val="00E73D6E"/>
    <w:rsid w:val="00E83115"/>
    <w:rsid w:val="00EA17B4"/>
    <w:rsid w:val="00EA7288"/>
    <w:rsid w:val="00EE2084"/>
    <w:rsid w:val="00F1435B"/>
    <w:rsid w:val="00F2064A"/>
    <w:rsid w:val="00F35864"/>
    <w:rsid w:val="00F45629"/>
    <w:rsid w:val="00F85C37"/>
    <w:rsid w:val="00F92F5A"/>
    <w:rsid w:val="00FA37E5"/>
    <w:rsid w:val="00FA3FDC"/>
    <w:rsid w:val="00FA6989"/>
    <w:rsid w:val="00FB561C"/>
    <w:rsid w:val="00FC0DBB"/>
    <w:rsid w:val="00FC54D1"/>
    <w:rsid w:val="00FD1695"/>
    <w:rsid w:val="00FD1862"/>
    <w:rsid w:val="00FD70C5"/>
    <w:rsid w:val="00FE2112"/>
    <w:rsid w:val="00FF1FDF"/>
    <w:rsid w:val="038056AC"/>
    <w:rsid w:val="29B31E42"/>
    <w:rsid w:val="4A18197C"/>
    <w:rsid w:val="5D28055E"/>
    <w:rsid w:val="5E1722C4"/>
    <w:rsid w:val="62C35D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批注框文本 Char"/>
    <w:basedOn w:val="7"/>
    <w:link w:val="3"/>
    <w:semiHidden/>
    <w:qFormat/>
    <w:uiPriority w:val="99"/>
    <w:rPr>
      <w:sz w:val="18"/>
      <w:szCs w:val="18"/>
    </w:rPr>
  </w:style>
  <w:style w:type="paragraph" w:customStyle="1" w:styleId="1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460A3-F0F1-451D-A19E-A17A4ABE616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45</Words>
  <Characters>257</Characters>
  <Lines>2</Lines>
  <Paragraphs>1</Paragraphs>
  <TotalTime>0</TotalTime>
  <ScaleCrop>false</ScaleCrop>
  <LinksUpToDate>false</LinksUpToDate>
  <CharactersWithSpaces>301</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2020-06-16T07:27:00Z</dcterms:created>
  <dc:creator>林艳</dc:creator>
  <cp:lastModifiedBy>Administrator</cp:lastModifiedBy>
  <cp:lastPrinted>2019-12-27T06:52:00Z</cp:lastPrinted>
  <dcterms:modified xsi:type="dcterms:W3CDTF">2022-09-16T02:01:19Z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7D7759622FA14DEB9283B245D23AB255</vt:lpwstr>
  </property>
</Properties>
</file>