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海蕴理财</w:t>
      </w:r>
      <w:r>
        <w:rPr>
          <w:rFonts w:hint="eastAsia" w:ascii="宋体" w:hAnsi="宋体"/>
          <w:b/>
          <w:sz w:val="36"/>
          <w:szCs w:val="36"/>
        </w:rPr>
        <w:t>优选系列恒利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公募</w:t>
      </w:r>
      <w:r>
        <w:rPr>
          <w:rFonts w:hint="eastAsia" w:ascii="宋体" w:hAnsi="宋体"/>
          <w:b/>
          <w:sz w:val="36"/>
          <w:szCs w:val="36"/>
        </w:rPr>
        <w:t>净值型理财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59"/>
        <w:gridCol w:w="1066"/>
        <w:gridCol w:w="1595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175578660.62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166489214.75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159983759.68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89329585.83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72643364.15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106898242.47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68527062.79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121197033.13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56611882.14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143256565.80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75922801.31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32922591.29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80369221.79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69635863.72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86031341.92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21863965.41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8421288.83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31758171.85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46762633.77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45875765.47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46851448.47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92335028.04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57959606.20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34375421.84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43235212.02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43183841.03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51370.99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88027366.64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77163131.91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10864234.73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57238173.83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26678894.02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30559279.81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83456826.91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52124388.75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31332438.16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40384069.95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188108369.82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145451011.94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42657357.88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119660124.64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98997258.94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20662865.70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98078664.85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46415488.91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51663175.94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94576411.92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289351152.34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237610189.01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51740963.33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163167779.66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111471277.02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51696502.64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141159969.12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100558672.37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40601296.75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111831075.81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47446935.12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64384140.69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91026521.18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142277777.88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90517066.51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51760711.37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57628430.52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36995513.43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20632917.09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201352049.75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287844384.32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236273828.84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51570555.48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142800754.81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99483974.19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43316780.62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188045353.94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164736059.36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23309294.58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95655439.15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75351471.62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20303967.53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264975531.55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183471057.24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81504474.31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239434145.87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209521686.39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29912459.48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225624513.85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198384691.05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27239822.80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213011613.08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192156040.69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20855572.39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184461288.85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133302529.98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51158758.87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170621780.20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149054421.24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21567358.96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83741130.79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75214686.49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8526444.30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41945302.77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35895862.21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6049440.56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78066053.62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57137421.59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165885801.22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146906723.42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18979077.80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103254191.90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72711697.98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30542493.92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114356752.78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96818471.00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17538281.78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99935413.74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153782241.45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135354143.90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18428097.55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93250139.49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85403813.09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7846326.40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47098480.26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30474851.61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16623628.65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104124468.83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76326955.67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27797513.16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82708504.89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69939741.32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12768763.57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64193472.83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78812444.43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71459680.39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7352764.04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59214066.42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54098020.10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5116046.32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65184739.36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46029621.84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19155117.52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36166957.30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30265731.60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5901225.70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156376617.02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122113195.21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115086140.77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7027054.44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106460874.62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95437272.36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11023602.26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51911835.53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40938456.42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10973379.11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56126284.12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51046805.73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5079478.39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62082794.18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53198533.79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8884260.39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44620853.38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36085630.77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8535222.61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105068010.34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97970206.85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7097803.49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67462963.68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39729366.44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27733597.24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83214429.19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74769875.19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8444554.00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65916457.96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61377738.35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4538719.61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54466665.94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47303859.25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7162806.69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81332322.92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55576539.10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25755783.82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41896389.56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26983502.29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36357251.16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32536658.46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40731501.93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65406011.21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67747530.78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A037B71"/>
    <w:rsid w:val="0B5E3484"/>
    <w:rsid w:val="0C3E4A6D"/>
    <w:rsid w:val="0ECC6702"/>
    <w:rsid w:val="101653F2"/>
    <w:rsid w:val="10246BE4"/>
    <w:rsid w:val="10B3013A"/>
    <w:rsid w:val="110E07BB"/>
    <w:rsid w:val="127F257B"/>
    <w:rsid w:val="14DA0FFE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FD42E74"/>
    <w:rsid w:val="20B05FC2"/>
    <w:rsid w:val="21BA6DF1"/>
    <w:rsid w:val="258C4EE5"/>
    <w:rsid w:val="269F0AF6"/>
    <w:rsid w:val="2AE22C8C"/>
    <w:rsid w:val="2D975CCA"/>
    <w:rsid w:val="2DB07F5A"/>
    <w:rsid w:val="2E782F2C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86A7E45"/>
    <w:rsid w:val="498F6E73"/>
    <w:rsid w:val="49A9125B"/>
    <w:rsid w:val="49D43F01"/>
    <w:rsid w:val="4BF465D0"/>
    <w:rsid w:val="4C5F0C0E"/>
    <w:rsid w:val="4C9A57C4"/>
    <w:rsid w:val="4DD75F3A"/>
    <w:rsid w:val="50A25EA9"/>
    <w:rsid w:val="51B87149"/>
    <w:rsid w:val="54D32D76"/>
    <w:rsid w:val="551D1A12"/>
    <w:rsid w:val="55884047"/>
    <w:rsid w:val="56E75FB3"/>
    <w:rsid w:val="59DF2395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4C21695"/>
    <w:rsid w:val="67756B56"/>
    <w:rsid w:val="681D7FE2"/>
    <w:rsid w:val="691F2FC7"/>
    <w:rsid w:val="698F37A5"/>
    <w:rsid w:val="6BF04348"/>
    <w:rsid w:val="6C073139"/>
    <w:rsid w:val="6C405AD8"/>
    <w:rsid w:val="6C5E39EA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1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2022-09-16T07:07:08Z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