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附件5：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温州分行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>2024-2026年授信业务诉讼/执行合作律师事务所合作服务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  <w:lang w:val="en-US" w:eastAsia="zh-CN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28"/>
          <w:u w:val="none"/>
        </w:rPr>
        <w:t>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</w:t>
      </w:r>
      <w:bookmarkStart w:id="0" w:name="_GoBack"/>
      <w:bookmarkEnd w:id="0"/>
      <w:r>
        <w:rPr>
          <w:rFonts w:ascii="仿宋_GB2312" w:hAnsi="Times New Roman" w:eastAsia="仿宋_GB2312" w:cs="Times New Roman"/>
          <w:sz w:val="28"/>
          <w:szCs w:val="28"/>
        </w:rPr>
        <w:t>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480" w:firstLineChars="16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6E2D"/>
    <w:rsid w:val="0FDA2634"/>
    <w:rsid w:val="20431EDC"/>
    <w:rsid w:val="24D26052"/>
    <w:rsid w:val="442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2024-04-23T01:46:00Z</dcterms:created>
  <dc:creator>林洁</dc:creator>
  <cp:lastModifiedBy>Administrator</cp:lastModifiedBy>
  <dcterms:modified xsi:type="dcterms:W3CDTF">2024-06-27T02:28:43Z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3347019FE2724C84A603C8FB6031A55E</vt:lpwstr>
  </property>
</Properties>
</file>