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default" w:ascii="楷体_GB2312" w:eastAsia="楷体_GB2312" w:cs="楷体_GB2312"/>
          <w:b/>
          <w:bCs/>
          <w:sz w:val="36"/>
          <w:szCs w:val="36"/>
          <w:lang w:val="en-US" w:eastAsia="zh-CN"/>
        </w:rPr>
      </w:pPr>
      <w:r>
        <w:rPr>
          <w:rFonts w:hint="eastAsia" w:ascii="楷体_GB2312" w:eastAsia="楷体_GB2312" w:cs="楷体_GB2312"/>
          <w:b/>
          <w:bCs/>
          <w:sz w:val="36"/>
          <w:szCs w:val="36"/>
          <w:lang w:val="en-US" w:eastAsia="zh-CN"/>
        </w:rPr>
        <w:t>2026年电子银行全面安全评估需求大纲</w:t>
      </w:r>
    </w:p>
    <w:p>
      <w:pPr>
        <w:widowControl w:val="0"/>
        <w:adjustRightInd w:val="0"/>
        <w:snapToGrid w:val="0"/>
        <w:spacing w:line="360" w:lineRule="auto"/>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（一）服务（评估）业务范围</w:t>
      </w:r>
    </w:p>
    <w:p>
      <w:pPr>
        <w:widowControl w:val="0"/>
        <w:adjustRightInd w:val="0"/>
        <w:snapToGrid w:val="0"/>
        <w:spacing w:line="360" w:lineRule="auto"/>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根据《电子银行业务管理办法》规定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办法所称电子银行业务，是指商业银行等银行业金融机构利用面向社会公众开放的通讯通道或开放型公众网络，以及银行为特定自助服务设施或客户建立的专用网络，向客户提供的银行服务。电子银行业务包括利用计算机和互联网开展的银</w:t>
      </w:r>
      <w:bookmarkStart w:id="0" w:name="_GoBack"/>
      <w:bookmarkEnd w:id="0"/>
      <w:r>
        <w:rPr>
          <w:rFonts w:hint="eastAsia" w:ascii="仿宋_GB2312" w:hAnsi="仿宋_GB2312" w:eastAsia="仿宋_GB2312" w:cs="仿宋_GB2312"/>
          <w:sz w:val="32"/>
          <w:szCs w:val="32"/>
        </w:rPr>
        <w:t>行业务（以下简称网上银行业务），利用电话等声讯设备和电信网络开展的银行业务（以下简称电话银行业务），利用移动电话和无线网络开展的银行业务（以下简称手机银行业务），以及其他利用电子服务设备和网络，由客户通过自助服务方式完成金融交易的银行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对照此定义，我行本次拟</w:t>
      </w:r>
      <w:r>
        <w:rPr>
          <w:rFonts w:hint="eastAsia" w:ascii="仿宋_GB2312" w:hAnsi="仿宋_GB2312" w:eastAsia="仿宋_GB2312" w:cs="仿宋_GB2312"/>
          <w:sz w:val="32"/>
          <w:szCs w:val="32"/>
          <w:lang w:val="en-US" w:eastAsia="zh-CN"/>
        </w:rPr>
        <w:t>将20项业务（涉及20个客户端系统、11个后端系统）</w:t>
      </w:r>
      <w:r>
        <w:rPr>
          <w:rFonts w:hint="eastAsia" w:ascii="仿宋_GB2312" w:hAnsi="仿宋_GB2312" w:eastAsia="仿宋_GB2312" w:cs="仿宋_GB2312"/>
          <w:sz w:val="32"/>
          <w:szCs w:val="32"/>
        </w:rPr>
        <w:t>纳入电子银行全面安全评估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具体如下</w:t>
      </w:r>
      <w:r>
        <w:rPr>
          <w:rFonts w:hint="eastAsia" w:ascii="仿宋_GB2312" w:hAnsi="仿宋_GB2312" w:eastAsia="仿宋_GB2312" w:cs="仿宋_GB2312"/>
          <w:sz w:val="32"/>
          <w:szCs w:val="32"/>
        </w:rPr>
        <w:t>：</w:t>
      </w:r>
    </w:p>
    <w:tbl>
      <w:tblPr>
        <w:tblStyle w:val="5"/>
        <w:tblW w:w="104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2901"/>
        <w:gridCol w:w="1130"/>
        <w:gridCol w:w="2850"/>
        <w:gridCol w:w="2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业务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业务主管部门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客户端系统</w:t>
            </w:r>
            <w:r>
              <w:rPr>
                <w:rFonts w:hint="eastAsia" w:ascii="仿宋_GB2312" w:hAnsi="宋体" w:cs="仿宋_GB2312"/>
                <w:b/>
                <w:bCs/>
                <w:i w:val="0"/>
                <w:iCs w:val="0"/>
                <w:color w:val="000000"/>
                <w:kern w:val="0"/>
                <w:sz w:val="24"/>
                <w:szCs w:val="24"/>
                <w:u w:val="none"/>
                <w:lang w:val="en-US" w:eastAsia="zh-CN" w:bidi="ar"/>
              </w:rPr>
              <w:t>名称</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后端系统名称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个人手机银行</w:t>
            </w:r>
          </w:p>
        </w:tc>
        <w:tc>
          <w:tcPr>
            <w:tcW w:w="113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营运</w:t>
            </w:r>
          </w:p>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个人手机银行</w:t>
            </w:r>
          </w:p>
        </w:tc>
        <w:tc>
          <w:tcPr>
            <w:tcW w:w="2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互联网电子渠道系统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个人网上银行</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个人网上银行</w:t>
            </w:r>
          </w:p>
        </w:tc>
        <w:tc>
          <w:tcPr>
            <w:tcW w:w="2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海峡掌柜</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海峡掌柜</w:t>
            </w:r>
          </w:p>
        </w:tc>
        <w:tc>
          <w:tcPr>
            <w:tcW w:w="2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海峡银行绑卡</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海峡银行绑卡小程序</w:t>
            </w:r>
          </w:p>
        </w:tc>
        <w:tc>
          <w:tcPr>
            <w:tcW w:w="2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海峡银行微信公众号</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海峡银行微信公众号</w:t>
            </w:r>
          </w:p>
        </w:tc>
        <w:tc>
          <w:tcPr>
            <w:tcW w:w="28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微信银行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云上海峡</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云上海峡小程序</w:t>
            </w:r>
          </w:p>
        </w:tc>
        <w:tc>
          <w:tcPr>
            <w:tcW w:w="2836" w:type="dxa"/>
            <w:vMerge w:val="continue"/>
            <w:tcBorders>
              <w:top w:val="nil"/>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海峡银行对公开户预约</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海峡银行对公开户</w:t>
            </w:r>
          </w:p>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预约小程序</w:t>
            </w:r>
          </w:p>
        </w:tc>
        <w:tc>
          <w:tcPr>
            <w:tcW w:w="2836" w:type="dxa"/>
            <w:vMerge w:val="continue"/>
            <w:tcBorders>
              <w:top w:val="nil"/>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厅堂协同</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厅堂协同小程序</w:t>
            </w:r>
          </w:p>
        </w:tc>
        <w:tc>
          <w:tcPr>
            <w:tcW w:w="2836" w:type="dxa"/>
            <w:vMerge w:val="continue"/>
            <w:tcBorders>
              <w:top w:val="nil"/>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企业网上银行(包括银企直连业务）</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企业网上银行系统</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新企业网银系统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电话银行</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智能客服系统</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全媒体智能客服系统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自助银行</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自助银行系统</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新自助银行系统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超级柜台</w:t>
            </w:r>
          </w:p>
        </w:tc>
        <w:tc>
          <w:tcPr>
            <w:tcW w:w="1130" w:type="dxa"/>
            <w:vMerge w:val="continue"/>
            <w:tcBorders>
              <w:top w:val="single" w:color="000000" w:sz="4" w:space="0"/>
              <w:left w:val="single" w:color="000000" w:sz="4" w:space="0"/>
              <w:bottom w:val="nil"/>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超级柜台系统</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超级柜台系统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企业手机银行</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普惠</w:t>
            </w:r>
          </w:p>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金融部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企业手机银行系统</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企业手机银行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海峡供应链e融资</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海峡供应链e融资小程序</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供应链系统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海峡银行信贷工厂</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海峡银行信贷工厂小程序</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互联网电子渠道系统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教育缴费</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零售</w:t>
            </w:r>
          </w:p>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金融部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企业网银行业应用系统</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新行业应用系统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市民金融</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市民卡小程序</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微信银行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统一支付收单业务</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宋体" w:eastAsia="仿宋_GB2312" w:cs="仿宋_GB2312"/>
                <w:i w:val="0"/>
                <w:iCs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统一支付收单平台</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统一支付收单平台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19</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供应链金融服务</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w:t>
            </w:r>
          </w:p>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金融部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供应链金融服务系统</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供应链金融服务系统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线上贷款</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个人</w:t>
            </w:r>
          </w:p>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贷款部</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一贷通微信小程序</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微信银行</w:t>
            </w:r>
          </w:p>
        </w:tc>
      </w:tr>
    </w:tbl>
    <w:p>
      <w:pPr>
        <w:widowControl w:val="0"/>
        <w:adjustRightInd w:val="0"/>
        <w:snapToGrid w:val="0"/>
        <w:spacing w:line="360" w:lineRule="auto"/>
        <w:ind w:firstLine="640" w:firstLineChars="200"/>
        <w:contextualSpacing/>
        <w:jc w:val="left"/>
        <w:rPr>
          <w:rFonts w:hint="eastAsia" w:ascii="仿宋_GB2312" w:hAnsi="仿宋_GB2312" w:eastAsia="仿宋_GB2312" w:cs="仿宋_GB2312"/>
          <w:sz w:val="32"/>
          <w:szCs w:val="32"/>
        </w:rPr>
      </w:pPr>
    </w:p>
    <w:p>
      <w:pPr>
        <w:widowControl w:val="0"/>
        <w:adjustRightInd w:val="0"/>
        <w:snapToGrid w:val="0"/>
        <w:spacing w:line="360" w:lineRule="auto"/>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（二）主要评估内容</w:t>
      </w:r>
    </w:p>
    <w:p>
      <w:pPr>
        <w:widowControl w:val="0"/>
        <w:adjustRightInd w:val="0"/>
        <w:snapToGrid w:val="0"/>
        <w:spacing w:line="360" w:lineRule="auto"/>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根据《电子银行安全评估指引》要求，本次电子银行全面安全评估包括以下八项内容：</w:t>
      </w:r>
    </w:p>
    <w:p>
      <w:pPr>
        <w:widowControl w:val="0"/>
        <w:adjustRightInd w:val="0"/>
        <w:snapToGri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策略：包括安全策略制定的流程与合理性、系统设计与开发的安全策略、系统测试与验收的安全策略、系统运行与维护的安全策略、系统备份与应急的安全策略、客户信息安全策略（不仅要评估安全策略、规章制度和程序是否存在，还要评估这些制度是否得到贯彻执行，是否及时更新，是否全面覆盖电子银行业务系统）。</w:t>
      </w:r>
    </w:p>
    <w:p>
      <w:pPr>
        <w:pStyle w:val="8"/>
        <w:widowControl/>
        <w:adjustRightInd w:val="0"/>
        <w:snapToGrid w:val="0"/>
        <w:ind w:firstLine="632"/>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内控制度建设：包括内部控制体系总体建设的科学性与适宜性；董事会和高级管理层在电子银行安全和风险管理体系中的职责，以及相关部门职责和责任的合理性；安全监控机制的建设与运行情况；内部审计制度的建设与运行情况。</w:t>
      </w:r>
    </w:p>
    <w:p>
      <w:pPr>
        <w:adjustRightInd w:val="0"/>
        <w:snapToGri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风险管理状况：包括电子银行风险管理架构的适应性和合理性；董事会和高级管理层对电子银行安全与风险管理的认知能力与相关政策、策略的制定执行情况；电子银行管理机构职责设置的合理性及对相关风险的管控能力；管理人员配备与培训情况；电子银行风险管理的规章制度与操作规定、程序等的执行情况；电子银行业务的主要风险及管理状况；业务外包管理制度建设与管理状况。</w:t>
      </w:r>
    </w:p>
    <w:p>
      <w:pPr>
        <w:adjustRightInd w:val="0"/>
        <w:snapToGri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系统安全性：包括物理安全、数据通讯安全、应用系统安全、密钥管理、客户信息认证与保密、入侵监测机制和报告反应机制（应突出对数据通讯安全和应用系统安全的评估，客观评价是否采用了合适的加密技术、合理设计和配置了服务器和防火墙，银行内部运作系统和数据库是否安全等，以及是否制定了控制和管理修改电子银行系统的制度和控制程序，并能保证各种修改得到及时测试和审核）。</w:t>
      </w:r>
    </w:p>
    <w:p>
      <w:pPr>
        <w:adjustRightInd w:val="0"/>
        <w:snapToGri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5.电子银行业务运行连续性计划：包括保障业务连续运营的设备和系统能力、保证业务连续运营的制度安排和执行情况。</w:t>
      </w:r>
    </w:p>
    <w:p>
      <w:pPr>
        <w:widowControl w:val="0"/>
        <w:adjustRightInd w:val="0"/>
        <w:snapToGri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6.电子银行业务运行应急计划：包括电子银行应急制度建设与执行情况；电子银行应急设施设备配备情况；定期、持续性检测与演练情况；应对意外事故或外部攻击的能力。</w:t>
      </w:r>
    </w:p>
    <w:p>
      <w:pPr>
        <w:adjustRightInd w:val="0"/>
        <w:snapToGri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7.电子银行风险预警体系。</w:t>
      </w:r>
    </w:p>
    <w:p>
      <w:pPr>
        <w:adjustRightInd w:val="0"/>
        <w:snapToGrid w:val="0"/>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8.其他重要安全环节和机制的管理。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C6FDF"/>
    <w:rsid w:val="11DE1F58"/>
    <w:rsid w:val="1CAC6FDF"/>
    <w:rsid w:val="32CF3E5E"/>
    <w:rsid w:val="4C6D029B"/>
    <w:rsid w:val="4E3C3C93"/>
    <w:rsid w:val="5CA63068"/>
    <w:rsid w:val="65DE103D"/>
    <w:rsid w:val="7D376081"/>
    <w:rsid w:val="7F343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qFormat/>
    <w:uiPriority w:val="0"/>
    <w:pPr>
      <w:spacing w:line="400" w:lineRule="exact"/>
      <w:ind w:firstLine="200" w:firstLineChars="200"/>
    </w:pPr>
    <w:rPr>
      <w:rFonts w:ascii="Times New Roman" w:hAnsi="Times New Roman" w:eastAsia="宋体" w:cs="Times New Roman"/>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首行缩进2字符）"/>
    <w:basedOn w:val="1"/>
    <w:qFormat/>
    <w:uiPriority w:val="0"/>
    <w:pPr>
      <w:widowControl w:val="0"/>
      <w:spacing w:line="360" w:lineRule="auto"/>
      <w:ind w:firstLine="480" w:firstLineChars="200"/>
      <w:jc w:val="both"/>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2024-04-02T01:54:00Z</dcterms:created>
  <dc:creator>Administrator</dc:creator>
  <cp:lastModifiedBy>Administrator</cp:lastModifiedBy>
  <dcterms:modified xsi:type="dcterms:W3CDTF">2026-05-18T01:34:37Z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8C9DFF05D2604FEA88667E6878033B3A</vt:lpwstr>
  </property>
</Properties>
</file>