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036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000000"/>
          <w:kern w:val="0"/>
          <w:sz w:val="36"/>
          <w:szCs w:val="36"/>
          <w:highlight w:val="none"/>
        </w:rPr>
      </w:pPr>
      <w:r>
        <w:rPr>
          <w:rFonts w:hint="eastAsia" w:ascii="方正小标宋_GBK" w:hAnsi="方正小标宋_GBK" w:eastAsia="方正小标宋_GBK" w:cs="方正小标宋_GBK"/>
          <w:b w:val="0"/>
          <w:bCs w:val="0"/>
          <w:color w:val="000000"/>
          <w:kern w:val="0"/>
          <w:sz w:val="36"/>
          <w:szCs w:val="36"/>
          <w:highlight w:val="none"/>
        </w:rPr>
        <w:t>福建海峡银行</w:t>
      </w:r>
      <w:r>
        <w:rPr>
          <w:rFonts w:hint="eastAsia" w:ascii="方正小标宋_GBK" w:hAnsi="方正小标宋_GBK" w:eastAsia="方正小标宋_GBK" w:cs="方正小标宋_GBK"/>
          <w:b w:val="0"/>
          <w:bCs w:val="0"/>
          <w:color w:val="000000"/>
          <w:kern w:val="0"/>
          <w:sz w:val="36"/>
          <w:szCs w:val="36"/>
          <w:highlight w:val="none"/>
          <w:lang w:eastAsia="zh-CN"/>
        </w:rPr>
        <w:t>福州地区</w:t>
      </w:r>
      <w:r>
        <w:rPr>
          <w:rFonts w:hint="eastAsia" w:ascii="方正小标宋_GBK" w:hAnsi="方正小标宋_GBK" w:eastAsia="方正小标宋_GBK" w:cs="方正小标宋_GBK"/>
          <w:b w:val="0"/>
          <w:bCs w:val="0"/>
          <w:color w:val="000000"/>
          <w:kern w:val="0"/>
          <w:sz w:val="36"/>
          <w:szCs w:val="36"/>
          <w:highlight w:val="none"/>
          <w:lang w:val="en-US" w:eastAsia="zh-CN"/>
        </w:rPr>
        <w:t>评估公司</w:t>
      </w:r>
      <w:r>
        <w:rPr>
          <w:rFonts w:hint="eastAsia" w:ascii="方正小标宋_GBK" w:hAnsi="方正小标宋_GBK" w:eastAsia="方正小标宋_GBK" w:cs="方正小标宋_GBK"/>
          <w:b w:val="0"/>
          <w:bCs w:val="0"/>
          <w:color w:val="000000"/>
          <w:kern w:val="0"/>
          <w:sz w:val="36"/>
          <w:szCs w:val="36"/>
          <w:highlight w:val="none"/>
        </w:rPr>
        <w:t>入围资格报审表</w:t>
      </w:r>
    </w:p>
    <w:p w14:paraId="4617097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4"/>
          <w:szCs w:val="24"/>
          <w:highlight w:val="none"/>
        </w:rPr>
      </w:pPr>
    </w:p>
    <w:p w14:paraId="0EE8C713">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0"/>
        <w:gridCol w:w="1450"/>
        <w:gridCol w:w="95"/>
        <w:gridCol w:w="1480"/>
        <w:gridCol w:w="65"/>
        <w:gridCol w:w="1160"/>
        <w:gridCol w:w="385"/>
        <w:gridCol w:w="1065"/>
        <w:gridCol w:w="480"/>
        <w:gridCol w:w="1548"/>
      </w:tblGrid>
      <w:tr w14:paraId="11EED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4E6121A4">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公司名称</w:t>
            </w:r>
          </w:p>
        </w:tc>
        <w:tc>
          <w:tcPr>
            <w:tcW w:w="7728" w:type="dxa"/>
            <w:gridSpan w:val="9"/>
            <w:tcBorders>
              <w:bottom w:val="single" w:color="auto" w:sz="4" w:space="0"/>
            </w:tcBorders>
            <w:vAlign w:val="center"/>
          </w:tcPr>
          <w:p w14:paraId="0A7C7E79">
            <w:pPr>
              <w:jc w:val="left"/>
              <w:rPr>
                <w:rFonts w:hint="eastAsia" w:ascii="宋体" w:hAnsi="宋体" w:eastAsia="宋体" w:cs="宋体"/>
                <w:color w:val="000000"/>
                <w:kern w:val="0"/>
                <w:sz w:val="21"/>
                <w:szCs w:val="21"/>
                <w:highlight w:val="none"/>
              </w:rPr>
            </w:pPr>
          </w:p>
        </w:tc>
      </w:tr>
      <w:tr w14:paraId="7A958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42113D9E">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实收</w:t>
            </w:r>
            <w:r>
              <w:rPr>
                <w:rFonts w:hint="eastAsia" w:ascii="宋体" w:hAnsi="宋体" w:eastAsia="宋体" w:cs="宋体"/>
                <w:color w:val="000000"/>
                <w:kern w:val="0"/>
                <w:sz w:val="21"/>
                <w:szCs w:val="21"/>
                <w:highlight w:val="none"/>
              </w:rPr>
              <w:t>资本</w:t>
            </w:r>
          </w:p>
        </w:tc>
        <w:tc>
          <w:tcPr>
            <w:tcW w:w="1450" w:type="dxa"/>
            <w:tcBorders>
              <w:top w:val="single" w:color="auto" w:sz="4" w:space="0"/>
              <w:right w:val="single" w:color="auto" w:sz="4" w:space="0"/>
            </w:tcBorders>
            <w:vAlign w:val="center"/>
          </w:tcPr>
          <w:p w14:paraId="345C60DF">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14:paraId="63B4CB9E">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成立日期</w:t>
            </w:r>
          </w:p>
        </w:tc>
        <w:tc>
          <w:tcPr>
            <w:tcW w:w="1225" w:type="dxa"/>
            <w:gridSpan w:val="2"/>
            <w:tcBorders>
              <w:top w:val="single" w:color="auto" w:sz="4" w:space="0"/>
              <w:left w:val="single" w:color="auto" w:sz="4" w:space="0"/>
              <w:right w:val="single" w:color="auto" w:sz="4" w:space="0"/>
            </w:tcBorders>
            <w:vAlign w:val="center"/>
          </w:tcPr>
          <w:p w14:paraId="02B306EB">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14:paraId="14BAE9E0">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营业期限</w:t>
            </w:r>
          </w:p>
        </w:tc>
        <w:tc>
          <w:tcPr>
            <w:tcW w:w="2028" w:type="dxa"/>
            <w:gridSpan w:val="2"/>
            <w:tcBorders>
              <w:top w:val="single" w:color="auto" w:sz="4" w:space="0"/>
              <w:left w:val="single" w:color="auto" w:sz="4" w:space="0"/>
            </w:tcBorders>
            <w:vAlign w:val="center"/>
          </w:tcPr>
          <w:p w14:paraId="08A6C34D">
            <w:pPr>
              <w:jc w:val="center"/>
              <w:rPr>
                <w:rFonts w:hint="eastAsia" w:ascii="宋体" w:hAnsi="宋体" w:eastAsia="宋体" w:cs="宋体"/>
                <w:color w:val="000000"/>
                <w:kern w:val="0"/>
                <w:sz w:val="21"/>
                <w:szCs w:val="21"/>
                <w:highlight w:val="none"/>
              </w:rPr>
            </w:pPr>
          </w:p>
        </w:tc>
      </w:tr>
      <w:tr w14:paraId="60DD13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13038965">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注册地址</w:t>
            </w:r>
          </w:p>
        </w:tc>
        <w:tc>
          <w:tcPr>
            <w:tcW w:w="7728" w:type="dxa"/>
            <w:gridSpan w:val="9"/>
            <w:tcBorders>
              <w:top w:val="single" w:color="auto" w:sz="4" w:space="0"/>
            </w:tcBorders>
            <w:vAlign w:val="center"/>
          </w:tcPr>
          <w:p w14:paraId="5923CA8D">
            <w:pPr>
              <w:jc w:val="left"/>
              <w:rPr>
                <w:rFonts w:hint="eastAsia" w:ascii="宋体" w:hAnsi="宋体" w:eastAsia="宋体" w:cs="宋体"/>
                <w:color w:val="000000"/>
                <w:kern w:val="0"/>
                <w:sz w:val="21"/>
                <w:szCs w:val="21"/>
                <w:highlight w:val="none"/>
              </w:rPr>
            </w:pPr>
          </w:p>
        </w:tc>
      </w:tr>
      <w:tr w14:paraId="141D0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61B70D1C">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实际经营地址</w:t>
            </w:r>
          </w:p>
        </w:tc>
        <w:tc>
          <w:tcPr>
            <w:tcW w:w="7728" w:type="dxa"/>
            <w:gridSpan w:val="9"/>
            <w:tcBorders>
              <w:top w:val="single" w:color="auto" w:sz="4" w:space="0"/>
            </w:tcBorders>
            <w:vAlign w:val="center"/>
          </w:tcPr>
          <w:p w14:paraId="31B509D1">
            <w:pPr>
              <w:jc w:val="left"/>
              <w:rPr>
                <w:rFonts w:hint="eastAsia" w:ascii="宋体" w:hAnsi="宋体" w:eastAsia="宋体" w:cs="宋体"/>
                <w:color w:val="000000"/>
                <w:kern w:val="0"/>
                <w:sz w:val="21"/>
                <w:szCs w:val="21"/>
                <w:highlight w:val="none"/>
                <w:lang w:val="en-US" w:eastAsia="zh-CN"/>
              </w:rPr>
            </w:pPr>
          </w:p>
        </w:tc>
      </w:tr>
      <w:tr w14:paraId="27E46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59C537A6">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法人代表</w:t>
            </w:r>
          </w:p>
        </w:tc>
        <w:tc>
          <w:tcPr>
            <w:tcW w:w="1450" w:type="dxa"/>
            <w:tcBorders>
              <w:top w:val="single" w:color="auto" w:sz="4" w:space="0"/>
              <w:right w:val="single" w:color="auto" w:sz="4" w:space="0"/>
            </w:tcBorders>
            <w:vAlign w:val="center"/>
          </w:tcPr>
          <w:p w14:paraId="60906D45">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14:paraId="171000AE">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14:paraId="02B203F2">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14:paraId="4126D15B">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14:paraId="0A98E155">
            <w:pPr>
              <w:jc w:val="center"/>
              <w:rPr>
                <w:rFonts w:hint="eastAsia" w:ascii="宋体" w:hAnsi="宋体" w:eastAsia="宋体" w:cs="宋体"/>
                <w:color w:val="000000"/>
                <w:kern w:val="0"/>
                <w:sz w:val="21"/>
                <w:szCs w:val="21"/>
                <w:highlight w:val="none"/>
              </w:rPr>
            </w:pPr>
          </w:p>
        </w:tc>
      </w:tr>
      <w:tr w14:paraId="274AB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0EB0D5F7">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公司联系人</w:t>
            </w:r>
          </w:p>
        </w:tc>
        <w:tc>
          <w:tcPr>
            <w:tcW w:w="1450" w:type="dxa"/>
            <w:tcBorders>
              <w:top w:val="single" w:color="auto" w:sz="4" w:space="0"/>
              <w:right w:val="single" w:color="auto" w:sz="4" w:space="0"/>
            </w:tcBorders>
            <w:vAlign w:val="center"/>
          </w:tcPr>
          <w:p w14:paraId="4BA1925C">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14:paraId="688C17FE">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14:paraId="101903FA">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14:paraId="5CCEBC18">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14:paraId="1AB90A6D">
            <w:pPr>
              <w:jc w:val="center"/>
              <w:rPr>
                <w:rFonts w:hint="eastAsia" w:ascii="宋体" w:hAnsi="宋体" w:eastAsia="宋体" w:cs="宋体"/>
                <w:color w:val="000000"/>
                <w:kern w:val="0"/>
                <w:sz w:val="21"/>
                <w:szCs w:val="21"/>
                <w:highlight w:val="none"/>
              </w:rPr>
            </w:pPr>
          </w:p>
        </w:tc>
      </w:tr>
      <w:tr w14:paraId="519A7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86" w:hRule="atLeast"/>
          <w:jc w:val="center"/>
        </w:trPr>
        <w:tc>
          <w:tcPr>
            <w:tcW w:w="1640" w:type="dxa"/>
            <w:vAlign w:val="center"/>
          </w:tcPr>
          <w:p w14:paraId="2B39A0C2">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具备的</w:t>
            </w:r>
            <w:r>
              <w:rPr>
                <w:rFonts w:hint="eastAsia" w:ascii="宋体" w:hAnsi="宋体" w:eastAsia="宋体" w:cs="宋体"/>
                <w:color w:val="000000"/>
                <w:kern w:val="0"/>
                <w:sz w:val="21"/>
                <w:szCs w:val="21"/>
                <w:highlight w:val="none"/>
              </w:rPr>
              <w:t>评估资质</w:t>
            </w:r>
          </w:p>
        </w:tc>
        <w:tc>
          <w:tcPr>
            <w:tcW w:w="7728" w:type="dxa"/>
            <w:gridSpan w:val="9"/>
            <w:tcBorders>
              <w:top w:val="single" w:color="auto" w:sz="4" w:space="0"/>
            </w:tcBorders>
            <w:vAlign w:val="center"/>
          </w:tcPr>
          <w:p w14:paraId="3DAFBB22">
            <w:pPr>
              <w:jc w:val="center"/>
              <w:rPr>
                <w:rFonts w:hint="eastAsia" w:ascii="宋体" w:hAnsi="宋体" w:eastAsia="宋体" w:cs="宋体"/>
                <w:color w:val="000000"/>
                <w:kern w:val="0"/>
                <w:sz w:val="21"/>
                <w:szCs w:val="21"/>
                <w:highlight w:val="none"/>
              </w:rPr>
            </w:pPr>
          </w:p>
          <w:p w14:paraId="73C2BF61">
            <w:pPr>
              <w:jc w:val="both"/>
              <w:rPr>
                <w:rFonts w:hint="eastAsia" w:ascii="宋体" w:hAnsi="宋体" w:eastAsia="宋体" w:cs="宋体"/>
                <w:color w:val="000000"/>
                <w:kern w:val="0"/>
                <w:sz w:val="21"/>
                <w:szCs w:val="21"/>
                <w:highlight w:val="none"/>
                <w:lang w:eastAsia="zh"/>
              </w:rPr>
            </w:pPr>
            <w:r>
              <w:rPr>
                <w:rFonts w:hint="eastAsia" w:ascii="宋体" w:hAnsi="宋体" w:eastAsia="宋体" w:cs="宋体"/>
                <w:i w:val="0"/>
                <w:iCs w:val="0"/>
                <w:color w:val="000000"/>
                <w:kern w:val="0"/>
                <w:sz w:val="21"/>
                <w:szCs w:val="21"/>
                <w:u w:val="none"/>
                <w:lang w:val="en-US" w:eastAsia="zh" w:bidi="ar"/>
              </w:rPr>
              <w:t>注：写明具备的全部资质，</w:t>
            </w:r>
            <w:r>
              <w:rPr>
                <w:rFonts w:hint="eastAsia" w:ascii="宋体" w:hAnsi="宋体" w:eastAsia="宋体" w:cs="宋体"/>
                <w:i w:val="0"/>
                <w:iCs w:val="0"/>
                <w:color w:val="000000"/>
                <w:kern w:val="0"/>
                <w:sz w:val="21"/>
                <w:szCs w:val="21"/>
                <w:u w:val="none"/>
                <w:lang w:val="en-US" w:eastAsia="zh-CN" w:bidi="ar"/>
              </w:rPr>
              <w:t>若有其他资质</w:t>
            </w:r>
            <w:r>
              <w:rPr>
                <w:rFonts w:hint="eastAsia" w:ascii="宋体" w:hAnsi="宋体" w:eastAsia="宋体" w:cs="宋体"/>
                <w:i w:val="0"/>
                <w:iCs w:val="0"/>
                <w:color w:val="000000"/>
                <w:kern w:val="0"/>
                <w:sz w:val="21"/>
                <w:szCs w:val="21"/>
                <w:u w:val="none"/>
                <w:lang w:val="en-US" w:eastAsia="zh" w:bidi="ar"/>
              </w:rPr>
              <w:t>（除</w:t>
            </w:r>
            <w:r>
              <w:rPr>
                <w:rFonts w:hint="eastAsia" w:ascii="宋体" w:hAnsi="宋体" w:eastAsia="宋体" w:cs="宋体"/>
                <w:i w:val="0"/>
                <w:iCs w:val="0"/>
                <w:color w:val="000000"/>
                <w:kern w:val="0"/>
                <w:sz w:val="21"/>
                <w:szCs w:val="21"/>
                <w:u w:val="none"/>
                <w:lang w:val="en-US" w:eastAsia="zh-CN" w:bidi="ar"/>
              </w:rPr>
              <w:t>房地产估价（一级）、土地估价、资产评估</w:t>
            </w:r>
            <w:r>
              <w:rPr>
                <w:rFonts w:hint="eastAsia" w:ascii="宋体" w:hAnsi="宋体" w:eastAsia="宋体" w:cs="宋体"/>
                <w:i w:val="0"/>
                <w:iCs w:val="0"/>
                <w:color w:val="000000"/>
                <w:kern w:val="0"/>
                <w:sz w:val="21"/>
                <w:szCs w:val="21"/>
                <w:u w:val="none"/>
                <w:lang w:val="en-US" w:eastAsia="zh" w:bidi="ar"/>
              </w:rPr>
              <w:t>以外），同时</w:t>
            </w:r>
            <w:bookmarkStart w:id="0" w:name="_GoBack"/>
            <w:bookmarkEnd w:id="0"/>
            <w:r>
              <w:rPr>
                <w:rFonts w:hint="eastAsia" w:ascii="宋体" w:hAnsi="宋体" w:eastAsia="宋体" w:cs="宋体"/>
                <w:i w:val="0"/>
                <w:iCs w:val="0"/>
                <w:color w:val="000000"/>
                <w:kern w:val="0"/>
                <w:sz w:val="21"/>
                <w:szCs w:val="21"/>
                <w:u w:val="none"/>
                <w:lang w:val="en-US" w:eastAsia="zh" w:bidi="ar"/>
              </w:rPr>
              <w:t>补充近</w:t>
            </w:r>
            <w:r>
              <w:rPr>
                <w:rFonts w:hint="eastAsia" w:ascii="宋体" w:hAnsi="宋体" w:eastAsia="宋体" w:cs="宋体"/>
                <w:i w:val="0"/>
                <w:iCs w:val="0"/>
                <w:color w:val="000000"/>
                <w:kern w:val="0"/>
                <w:sz w:val="21"/>
                <w:szCs w:val="21"/>
                <w:u w:val="none"/>
                <w:lang w:val="en-US" w:eastAsia="zh-CN" w:bidi="ar"/>
              </w:rPr>
              <w:t>5年以内的评估</w:t>
            </w:r>
            <w:r>
              <w:rPr>
                <w:rFonts w:hint="eastAsia" w:ascii="宋体" w:hAnsi="宋体" w:eastAsia="宋体" w:cs="宋体"/>
                <w:i w:val="0"/>
                <w:iCs w:val="0"/>
                <w:color w:val="000000"/>
                <w:kern w:val="0"/>
                <w:sz w:val="21"/>
                <w:szCs w:val="21"/>
                <w:u w:val="none"/>
                <w:lang w:val="en-US" w:eastAsia="zh" w:bidi="ar"/>
              </w:rPr>
              <w:t>案例数量及提供案例报告。</w:t>
            </w:r>
          </w:p>
          <w:p w14:paraId="501870FF">
            <w:pPr>
              <w:jc w:val="center"/>
              <w:rPr>
                <w:rFonts w:hint="eastAsia" w:ascii="宋体" w:hAnsi="宋体" w:eastAsia="宋体" w:cs="宋体"/>
                <w:color w:val="000000"/>
                <w:kern w:val="0"/>
                <w:sz w:val="21"/>
                <w:szCs w:val="21"/>
                <w:highlight w:val="none"/>
              </w:rPr>
            </w:pPr>
          </w:p>
        </w:tc>
      </w:tr>
      <w:tr w14:paraId="47E684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310391CE">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他行入围情况</w:t>
            </w:r>
          </w:p>
        </w:tc>
        <w:tc>
          <w:tcPr>
            <w:tcW w:w="7728" w:type="dxa"/>
            <w:gridSpan w:val="9"/>
            <w:vAlign w:val="center"/>
          </w:tcPr>
          <w:p w14:paraId="6DD76271">
            <w:pPr>
              <w:jc w:val="left"/>
              <w:rPr>
                <w:rFonts w:hint="eastAsia" w:ascii="宋体" w:hAnsi="宋体" w:eastAsia="宋体" w:cs="宋体"/>
                <w:color w:val="000000"/>
                <w:kern w:val="0"/>
                <w:sz w:val="21"/>
                <w:szCs w:val="21"/>
                <w:highlight w:val="none"/>
                <w:lang w:val="en-US" w:eastAsia="zh-CN"/>
              </w:rPr>
            </w:pPr>
          </w:p>
          <w:p w14:paraId="48FC8C11">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注：写明入围的四大国有商业银行及国内系统重要性银行家数、具体银行名称及业务量。</w:t>
            </w:r>
          </w:p>
          <w:p w14:paraId="32D76547">
            <w:pPr>
              <w:jc w:val="left"/>
              <w:rPr>
                <w:rFonts w:hint="eastAsia" w:ascii="宋体" w:hAnsi="宋体" w:eastAsia="宋体" w:cs="宋体"/>
                <w:color w:val="000000"/>
                <w:kern w:val="0"/>
                <w:sz w:val="21"/>
                <w:szCs w:val="21"/>
                <w:highlight w:val="none"/>
                <w:lang w:val="en-US" w:eastAsia="zh-CN"/>
              </w:rPr>
            </w:pPr>
          </w:p>
        </w:tc>
      </w:tr>
      <w:tr w14:paraId="11F73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04C198E8">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执业注册评估师总人数</w:t>
            </w:r>
          </w:p>
        </w:tc>
        <w:tc>
          <w:tcPr>
            <w:tcW w:w="7728" w:type="dxa"/>
            <w:gridSpan w:val="9"/>
            <w:vAlign w:val="center"/>
          </w:tcPr>
          <w:p w14:paraId="60FA18E3">
            <w:pPr>
              <w:jc w:val="left"/>
              <w:rPr>
                <w:rFonts w:hint="eastAsia" w:ascii="宋体" w:hAnsi="宋体" w:eastAsia="宋体" w:cs="宋体"/>
                <w:color w:val="000000"/>
                <w:kern w:val="0"/>
                <w:sz w:val="21"/>
                <w:szCs w:val="21"/>
                <w:highlight w:val="none"/>
                <w:lang w:val="en-US" w:eastAsia="zh-CN"/>
              </w:rPr>
            </w:pPr>
          </w:p>
          <w:p w14:paraId="6BE32A0D">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①一人多证的，在本栏评估师总人数中仅算一名，在下一栏人次统计中可按持有的资格证书项目分别计算。例如：A估价师同时具有房地产估价、资产估价资格证书，在计算注册评估师总人数时仅算1人，但统计“注册房地产估价师人次”、“资产估价师人次”时可分别算1人次。</w:t>
            </w:r>
          </w:p>
          <w:p w14:paraId="5468FDC0">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②本栏的执业注册评估师在参评的评估公司至少须有近半年医社保缴交记录；</w:t>
            </w:r>
          </w:p>
          <w:p w14:paraId="7D2A711F">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③本栏的执业注册评估师不得在其他评估公司任职；</w:t>
            </w:r>
          </w:p>
          <w:p w14:paraId="3A68C8FC">
            <w:pPr>
              <w:jc w:val="left"/>
              <w:rPr>
                <w:rFonts w:hint="eastAsia" w:ascii="宋体" w:hAnsi="宋体" w:eastAsia="宋体" w:cs="宋体"/>
                <w:color w:val="000000"/>
                <w:sz w:val="21"/>
                <w:szCs w:val="21"/>
                <w:highlight w:val="none"/>
                <w:u w:val="none" w:color="000000"/>
                <w:lang w:val="en-US"/>
              </w:rPr>
            </w:pPr>
            <w:r>
              <w:rPr>
                <w:rFonts w:hint="eastAsia" w:ascii="宋体" w:hAnsi="宋体" w:eastAsia="宋体" w:cs="宋体"/>
                <w:color w:val="000000"/>
                <w:kern w:val="0"/>
                <w:sz w:val="21"/>
                <w:szCs w:val="21"/>
                <w:highlight w:val="none"/>
                <w:lang w:val="en-US" w:eastAsia="zh-CN"/>
              </w:rPr>
              <w:t>④报名机构须确认本栏的执业注册评估师最近三年内未受过停止从业等行业处罚</w:t>
            </w:r>
            <w:r>
              <w:rPr>
                <w:rFonts w:hint="eastAsia" w:ascii="宋体" w:hAnsi="宋体" w:eastAsia="宋体" w:cs="宋体"/>
                <w:color w:val="000000"/>
                <w:sz w:val="21"/>
                <w:szCs w:val="21"/>
                <w:highlight w:val="none"/>
                <w:u w:val="none" w:color="000000"/>
                <w:lang w:val="en-US"/>
              </w:rPr>
              <w:t>。</w:t>
            </w:r>
          </w:p>
          <w:p w14:paraId="554EF76F">
            <w:pPr>
              <w:jc w:val="left"/>
              <w:rPr>
                <w:rFonts w:hint="eastAsia" w:ascii="宋体" w:hAnsi="宋体" w:eastAsia="宋体" w:cs="宋体"/>
                <w:color w:val="000000"/>
                <w:kern w:val="0"/>
                <w:sz w:val="21"/>
                <w:szCs w:val="21"/>
                <w:highlight w:val="none"/>
                <w:lang w:val="en-US" w:eastAsia="zh-CN"/>
              </w:rPr>
            </w:pPr>
          </w:p>
        </w:tc>
      </w:tr>
      <w:tr w14:paraId="10F6F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146BACD4">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注册房地产估价师人次</w:t>
            </w:r>
          </w:p>
        </w:tc>
        <w:tc>
          <w:tcPr>
            <w:tcW w:w="1545" w:type="dxa"/>
            <w:gridSpan w:val="2"/>
            <w:vAlign w:val="center"/>
          </w:tcPr>
          <w:p w14:paraId="5A99F21B">
            <w:pPr>
              <w:jc w:val="left"/>
              <w:rPr>
                <w:rFonts w:hint="eastAsia" w:ascii="宋体" w:hAnsi="宋体" w:eastAsia="宋体" w:cs="宋体"/>
                <w:color w:val="000000"/>
                <w:kern w:val="0"/>
                <w:sz w:val="21"/>
                <w:szCs w:val="21"/>
                <w:highlight w:val="none"/>
              </w:rPr>
            </w:pPr>
          </w:p>
          <w:p w14:paraId="74B20972">
            <w:pPr>
              <w:jc w:val="left"/>
              <w:rPr>
                <w:rFonts w:hint="eastAsia" w:ascii="宋体" w:hAnsi="宋体" w:eastAsia="宋体" w:cs="宋体"/>
                <w:color w:val="000000"/>
                <w:kern w:val="0"/>
                <w:sz w:val="21"/>
                <w:szCs w:val="21"/>
                <w:highlight w:val="none"/>
              </w:rPr>
            </w:pPr>
          </w:p>
          <w:p w14:paraId="40BD1667">
            <w:pPr>
              <w:jc w:val="left"/>
              <w:rPr>
                <w:rFonts w:hint="eastAsia" w:ascii="宋体" w:hAnsi="宋体" w:eastAsia="宋体" w:cs="宋体"/>
                <w:color w:val="000000"/>
                <w:kern w:val="0"/>
                <w:sz w:val="21"/>
                <w:szCs w:val="21"/>
                <w:highlight w:val="none"/>
              </w:rPr>
            </w:pPr>
          </w:p>
        </w:tc>
        <w:tc>
          <w:tcPr>
            <w:tcW w:w="1545" w:type="dxa"/>
            <w:gridSpan w:val="2"/>
            <w:vAlign w:val="center"/>
          </w:tcPr>
          <w:p w14:paraId="3BFF9BF7">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土地估价师人次</w:t>
            </w:r>
          </w:p>
        </w:tc>
        <w:tc>
          <w:tcPr>
            <w:tcW w:w="1545" w:type="dxa"/>
            <w:gridSpan w:val="2"/>
            <w:vAlign w:val="center"/>
          </w:tcPr>
          <w:p w14:paraId="49D98E73">
            <w:pPr>
              <w:jc w:val="center"/>
              <w:rPr>
                <w:rFonts w:hint="eastAsia" w:ascii="宋体" w:hAnsi="宋体" w:eastAsia="宋体" w:cs="宋体"/>
                <w:color w:val="000000"/>
                <w:kern w:val="0"/>
                <w:sz w:val="21"/>
                <w:szCs w:val="21"/>
                <w:highlight w:val="none"/>
                <w:lang w:val="en-US" w:eastAsia="zh-CN"/>
              </w:rPr>
            </w:pPr>
          </w:p>
        </w:tc>
        <w:tc>
          <w:tcPr>
            <w:tcW w:w="1545" w:type="dxa"/>
            <w:gridSpan w:val="2"/>
            <w:vAlign w:val="center"/>
          </w:tcPr>
          <w:p w14:paraId="44895777">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资产估价师人次</w:t>
            </w:r>
          </w:p>
        </w:tc>
        <w:tc>
          <w:tcPr>
            <w:tcW w:w="1548" w:type="dxa"/>
            <w:vAlign w:val="center"/>
          </w:tcPr>
          <w:p w14:paraId="45608777">
            <w:pPr>
              <w:jc w:val="center"/>
              <w:rPr>
                <w:rFonts w:hint="eastAsia" w:ascii="宋体" w:hAnsi="宋体" w:eastAsia="宋体" w:cs="宋体"/>
                <w:color w:val="000000"/>
                <w:kern w:val="0"/>
                <w:sz w:val="21"/>
                <w:szCs w:val="21"/>
                <w:highlight w:val="none"/>
                <w:lang w:val="en-US" w:eastAsia="zh-CN"/>
              </w:rPr>
            </w:pPr>
          </w:p>
        </w:tc>
      </w:tr>
      <w:tr w14:paraId="6742A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0A82494B">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近三年是否受到主管部门或行业协会等处罚、通报批评等</w:t>
            </w:r>
          </w:p>
        </w:tc>
        <w:tc>
          <w:tcPr>
            <w:tcW w:w="7728" w:type="dxa"/>
            <w:gridSpan w:val="9"/>
            <w:vAlign w:val="center"/>
          </w:tcPr>
          <w:p w14:paraId="26682E57">
            <w:pPr>
              <w:jc w:val="left"/>
              <w:rPr>
                <w:rFonts w:hint="eastAsia" w:ascii="宋体" w:hAnsi="宋体" w:eastAsia="宋体" w:cs="宋体"/>
                <w:color w:val="000000"/>
                <w:kern w:val="0"/>
                <w:sz w:val="21"/>
                <w:szCs w:val="21"/>
                <w:highlight w:val="none"/>
              </w:rPr>
            </w:pPr>
          </w:p>
        </w:tc>
      </w:tr>
      <w:tr w14:paraId="6A4B3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640" w:type="dxa"/>
            <w:vAlign w:val="center"/>
          </w:tcPr>
          <w:p w14:paraId="616776D1">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是否存在未结案的诉讼</w:t>
            </w:r>
          </w:p>
        </w:tc>
        <w:tc>
          <w:tcPr>
            <w:tcW w:w="7728" w:type="dxa"/>
            <w:gridSpan w:val="9"/>
            <w:vAlign w:val="center"/>
          </w:tcPr>
          <w:p w14:paraId="63E56883">
            <w:pPr>
              <w:jc w:val="left"/>
              <w:rPr>
                <w:rFonts w:hint="eastAsia" w:ascii="宋体" w:hAnsi="宋体" w:eastAsia="宋体" w:cs="宋体"/>
                <w:color w:val="000000"/>
                <w:kern w:val="0"/>
                <w:sz w:val="21"/>
                <w:szCs w:val="21"/>
                <w:highlight w:val="none"/>
              </w:rPr>
            </w:pPr>
          </w:p>
          <w:p w14:paraId="6376DC40">
            <w:pPr>
              <w:jc w:val="left"/>
              <w:rPr>
                <w:rFonts w:hint="eastAsia" w:ascii="宋体" w:hAnsi="宋体" w:eastAsia="宋体" w:cs="宋体"/>
                <w:color w:val="000000"/>
                <w:kern w:val="0"/>
                <w:sz w:val="21"/>
                <w:szCs w:val="21"/>
                <w:highlight w:val="none"/>
              </w:rPr>
            </w:pPr>
          </w:p>
          <w:p w14:paraId="51C6877E">
            <w:pPr>
              <w:jc w:val="left"/>
              <w:rPr>
                <w:rFonts w:hint="eastAsia" w:ascii="宋体" w:hAnsi="宋体" w:eastAsia="宋体" w:cs="宋体"/>
                <w:color w:val="000000"/>
                <w:kern w:val="0"/>
                <w:sz w:val="21"/>
                <w:szCs w:val="21"/>
                <w:highlight w:val="none"/>
              </w:rPr>
            </w:pPr>
          </w:p>
          <w:p w14:paraId="37CD590E">
            <w:pPr>
              <w:jc w:val="left"/>
              <w:rPr>
                <w:rFonts w:hint="eastAsia" w:ascii="宋体" w:hAnsi="宋体" w:eastAsia="宋体" w:cs="宋体"/>
                <w:color w:val="000000"/>
                <w:kern w:val="0"/>
                <w:sz w:val="21"/>
                <w:szCs w:val="21"/>
                <w:highlight w:val="none"/>
              </w:rPr>
            </w:pPr>
          </w:p>
        </w:tc>
      </w:tr>
    </w:tbl>
    <w:p w14:paraId="2C329B8A">
      <w:pPr>
        <w:widowControl/>
        <w:jc w:val="left"/>
        <w:rPr>
          <w:rFonts w:hint="eastAsia" w:ascii="仿宋_GB2312" w:hAnsi="仿宋_GB2312" w:eastAsia="仿宋_GB2312" w:cs="仿宋_GB2312"/>
          <w:sz w:val="24"/>
          <w:szCs w:val="24"/>
          <w:highlight w:val="none"/>
        </w:rPr>
      </w:pPr>
    </w:p>
    <w:p w14:paraId="4DEC3A81">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p>
    <w:p w14:paraId="629D9E43">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u w:val="single"/>
        </w:rPr>
        <w:t>本页仅为提示页，不需要打印放入报名材料</w:t>
      </w:r>
    </w:p>
    <w:p w14:paraId="703D9385">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b/>
          <w:bCs/>
          <w:sz w:val="24"/>
          <w:szCs w:val="24"/>
          <w:highlight w:val="none"/>
        </w:rPr>
      </w:pPr>
    </w:p>
    <w:p w14:paraId="36140AC9">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一、报名</w:t>
      </w:r>
      <w:r>
        <w:rPr>
          <w:rFonts w:hint="eastAsia" w:ascii="仿宋_GB2312" w:hAnsi="仿宋_GB2312" w:eastAsia="仿宋_GB2312" w:cs="仿宋_GB2312"/>
          <w:b/>
          <w:bCs/>
          <w:sz w:val="28"/>
          <w:szCs w:val="28"/>
          <w:highlight w:val="none"/>
          <w:lang w:val="en-US" w:eastAsia="zh-CN"/>
        </w:rPr>
        <w:t>须提交的材料</w:t>
      </w:r>
      <w:r>
        <w:rPr>
          <w:rFonts w:hint="eastAsia" w:ascii="仿宋_GB2312" w:hAnsi="仿宋_GB2312" w:eastAsia="仿宋_GB2312" w:cs="仿宋_GB2312"/>
          <w:b/>
          <w:bCs/>
          <w:sz w:val="28"/>
          <w:szCs w:val="28"/>
          <w:highlight w:val="none"/>
        </w:rPr>
        <w:t>：</w:t>
      </w:r>
    </w:p>
    <w:p w14:paraId="4387D48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rPr>
        <w:t>公</w:t>
      </w:r>
      <w:r>
        <w:rPr>
          <w:rFonts w:hint="eastAsia" w:ascii="仿宋_GB2312" w:hAnsi="仿宋_GB2312" w:eastAsia="仿宋_GB2312" w:cs="仿宋_GB2312"/>
          <w:color w:val="000000"/>
          <w:kern w:val="0"/>
          <w:sz w:val="28"/>
          <w:szCs w:val="28"/>
          <w:highlight w:val="none"/>
          <w:lang w:val="en-US" w:eastAsia="zh-CN" w:bidi="ar-SA"/>
        </w:rPr>
        <w:t>司简介（</w:t>
      </w:r>
      <w:r>
        <w:rPr>
          <w:rFonts w:hint="eastAsia" w:ascii="仿宋_GB2312" w:hAnsi="仿宋_GB2312" w:eastAsia="仿宋_GB2312" w:cs="仿宋_GB2312"/>
          <w:color w:val="000000"/>
          <w:kern w:val="0"/>
          <w:sz w:val="28"/>
          <w:szCs w:val="28"/>
          <w:highlight w:val="none"/>
          <w:lang w:val="zh-TW" w:eastAsia="zh-CN" w:bidi="ar-SA"/>
        </w:rPr>
        <w:t>包括但不限于企业背景、管理人员情况、组织架构及部门职责、经营范围、公司从业人员构成情况、行业排名、近三年工作主要业绩、主要合作金融机构、公司或评估师近三年是否存在不良从业记录等）。</w:t>
      </w:r>
    </w:p>
    <w:p w14:paraId="1530091D">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2、营业执照及法定代表人身份证。</w:t>
      </w:r>
    </w:p>
    <w:p w14:paraId="6BDAC1C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3、实际经营场所的租赁合同或自有资产权属凭证。</w:t>
      </w:r>
    </w:p>
    <w:p w14:paraId="1C961D69">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4、实收资本验资报告或投资款入账凭证等。</w:t>
      </w:r>
    </w:p>
    <w:p w14:paraId="36903F3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bidi="ar-SA"/>
        </w:rPr>
        <w:t>5、公司具备的评估资质证书</w:t>
      </w:r>
      <w:r>
        <w:rPr>
          <w:rFonts w:hint="eastAsia" w:ascii="仿宋_GB2312" w:hAnsi="仿宋_GB2312" w:eastAsia="仿宋_GB2312" w:cs="仿宋_GB2312"/>
          <w:color w:val="000000"/>
          <w:kern w:val="0"/>
          <w:sz w:val="28"/>
          <w:szCs w:val="28"/>
          <w:highlight w:val="none"/>
          <w:lang w:val="en-US" w:eastAsia="zh" w:bidi="ar-SA"/>
        </w:rPr>
        <w:t>，</w:t>
      </w:r>
      <w:r>
        <w:rPr>
          <w:rFonts w:hint="eastAsia" w:ascii="仿宋_GB2312" w:hAnsi="仿宋_GB2312" w:eastAsia="仿宋_GB2312" w:cs="仿宋_GB2312"/>
          <w:color w:val="000000"/>
          <w:kern w:val="0"/>
          <w:sz w:val="28"/>
          <w:szCs w:val="28"/>
          <w:highlight w:val="none"/>
          <w:lang w:val="en-US" w:eastAsia="zh-CN" w:bidi="ar-SA"/>
        </w:rPr>
        <w:t>具备房地产估价（一级）、土地估价、资产评估三项资质，若有其他资质一并提供资质证明文件及5年以内的评估案例</w:t>
      </w:r>
      <w:r>
        <w:rPr>
          <w:rFonts w:hint="eastAsia" w:ascii="仿宋_GB2312" w:hAnsi="仿宋_GB2312" w:eastAsia="仿宋_GB2312" w:cs="仿宋_GB2312"/>
          <w:color w:val="000000"/>
          <w:kern w:val="0"/>
          <w:sz w:val="28"/>
          <w:szCs w:val="28"/>
          <w:highlight w:val="none"/>
          <w:lang w:val="en-US" w:eastAsia="zh" w:bidi="ar-SA"/>
        </w:rPr>
        <w:t>报告。</w:t>
      </w:r>
    </w:p>
    <w:p w14:paraId="1FB19E9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6、公司执业注册评估师资格证书及该部分估价师近半年医社保缴交记录（2025.12-2026.05）。</w:t>
      </w:r>
    </w:p>
    <w:p w14:paraId="0D4F65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7、</w:t>
      </w:r>
      <w:r>
        <w:rPr>
          <w:rFonts w:hint="eastAsia" w:ascii="仿宋_GB2312" w:hAnsi="仿宋_GB2312" w:eastAsia="仿宋_GB2312" w:cs="仿宋_GB2312"/>
          <w:color w:val="000000"/>
          <w:kern w:val="0"/>
          <w:sz w:val="28"/>
          <w:szCs w:val="28"/>
          <w:highlight w:val="none"/>
          <w:lang w:val="en-US" w:eastAsia="zh" w:bidi="ar-SA"/>
        </w:rPr>
        <w:t>在福州地区</w:t>
      </w:r>
      <w:r>
        <w:rPr>
          <w:rFonts w:hint="eastAsia" w:ascii="仿宋_GB2312" w:hAnsi="仿宋_GB2312" w:eastAsia="仿宋_GB2312" w:cs="仿宋_GB2312"/>
          <w:color w:val="000000"/>
          <w:kern w:val="0"/>
          <w:sz w:val="28"/>
          <w:szCs w:val="28"/>
          <w:highlight w:val="none"/>
          <w:lang w:val="en-US" w:eastAsia="zh-CN" w:bidi="ar-SA"/>
        </w:rPr>
        <w:t>与四大国有银行（工农中建）、其他国内系统重要性银行的合作证明材料，如与银行签订的书面协议（完整版）、公开渠道可查询的银行入围名单、银行付款发票（1年以内）。</w:t>
      </w:r>
    </w:p>
    <w:p w14:paraId="0B308C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8、公司近三年无不良从业记录证明。</w:t>
      </w:r>
    </w:p>
    <w:p w14:paraId="1227EB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9、</w:t>
      </w:r>
      <w:r>
        <w:rPr>
          <w:rFonts w:hint="default" w:ascii="仿宋_GB2312" w:hAnsi="仿宋_GB2312" w:eastAsia="仿宋_GB2312" w:cs="仿宋_GB2312"/>
          <w:color w:val="000000"/>
          <w:kern w:val="0"/>
          <w:sz w:val="28"/>
          <w:szCs w:val="28"/>
          <w:highlight w:val="none"/>
          <w:lang w:val="en-US" w:eastAsia="zh-CN" w:bidi="ar-SA"/>
        </w:rPr>
        <w:t>反商业承诺贿赂函。</w:t>
      </w:r>
    </w:p>
    <w:p w14:paraId="31235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10、提供《福建海峡银行股份有限公司股东或关联方关系声明函》备案。</w:t>
      </w:r>
    </w:p>
    <w:p w14:paraId="62AAE6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11、在我行开立结算账户。后续在我行办理结算、有效代发的承诺函（若有）。</w:t>
      </w:r>
    </w:p>
    <w:p w14:paraId="46D357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12、其他报名公司认为需要递交的材料。</w:t>
      </w:r>
    </w:p>
    <w:p w14:paraId="28A2F3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二、注意事项</w:t>
      </w:r>
    </w:p>
    <w:p w14:paraId="259AF8B3">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1、以上文件若有特殊情况，请以文字说明，并加盖公章。</w:t>
      </w:r>
    </w:p>
    <w:p w14:paraId="4C679D3D">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2、报名文件要求：（1）报名文件均需要公司加盖单位公章；（2）需胶装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封面需注明公司</w:t>
      </w:r>
      <w:r>
        <w:rPr>
          <w:rFonts w:hint="eastAsia" w:ascii="仿宋_GB2312" w:hAnsi="仿宋_GB2312" w:eastAsia="仿宋_GB2312" w:cs="仿宋_GB2312"/>
          <w:sz w:val="28"/>
          <w:szCs w:val="28"/>
          <w:highlight w:val="none"/>
          <w:lang w:val="en-US" w:eastAsia="zh-CN"/>
        </w:rPr>
        <w:t>全</w:t>
      </w:r>
      <w:r>
        <w:rPr>
          <w:rFonts w:hint="eastAsia" w:ascii="仿宋_GB2312" w:hAnsi="仿宋_GB2312" w:eastAsia="仿宋_GB2312" w:cs="仿宋_GB2312"/>
          <w:sz w:val="28"/>
          <w:szCs w:val="28"/>
          <w:highlight w:val="none"/>
        </w:rPr>
        <w:t>称及报名时间；（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）需制作目录（标明页码）；（</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）统一使用档案袋存放，档案袋上应注明</w:t>
      </w:r>
      <w:r>
        <w:rPr>
          <w:rFonts w:hint="eastAsia" w:ascii="仿宋_GB2312" w:hAnsi="仿宋_GB2312" w:eastAsia="仿宋_GB2312" w:cs="仿宋_GB2312"/>
          <w:sz w:val="28"/>
          <w:szCs w:val="28"/>
          <w:highlight w:val="none"/>
          <w:lang w:val="en-US" w:eastAsia="zh-CN"/>
        </w:rPr>
        <w:t>公司</w:t>
      </w:r>
      <w:r>
        <w:rPr>
          <w:rFonts w:hint="eastAsia" w:ascii="仿宋_GB2312" w:hAnsi="仿宋_GB2312" w:eastAsia="仿宋_GB2312" w:cs="仿宋_GB2312"/>
          <w:sz w:val="28"/>
          <w:szCs w:val="28"/>
          <w:highlight w:val="none"/>
        </w:rPr>
        <w:t>全称。</w:t>
      </w:r>
    </w:p>
    <w:p w14:paraId="0DB31CE1">
      <w:pPr>
        <w:widowControl/>
        <w:jc w:val="left"/>
        <w:rPr>
          <w:rFonts w:hint="eastAsia" w:ascii="仿宋_GB2312" w:hAnsi="仿宋_GB2312" w:eastAsia="仿宋_GB2312" w:cs="仿宋_GB2312"/>
          <w:sz w:val="24"/>
          <w:szCs w:val="24"/>
          <w:highlight w:val="non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50E8D"/>
    <w:rsid w:val="0008348B"/>
    <w:rsid w:val="00095A5A"/>
    <w:rsid w:val="000D1366"/>
    <w:rsid w:val="000D4F8C"/>
    <w:rsid w:val="000E202D"/>
    <w:rsid w:val="000E35EB"/>
    <w:rsid w:val="000E5682"/>
    <w:rsid w:val="000F304C"/>
    <w:rsid w:val="000F7BE8"/>
    <w:rsid w:val="00114B04"/>
    <w:rsid w:val="00144E0A"/>
    <w:rsid w:val="001919DE"/>
    <w:rsid w:val="001933F0"/>
    <w:rsid w:val="001A4618"/>
    <w:rsid w:val="001A521B"/>
    <w:rsid w:val="001B1A4B"/>
    <w:rsid w:val="001F4AAE"/>
    <w:rsid w:val="0022340B"/>
    <w:rsid w:val="0023048B"/>
    <w:rsid w:val="00254587"/>
    <w:rsid w:val="002601E2"/>
    <w:rsid w:val="00264EE3"/>
    <w:rsid w:val="002815CE"/>
    <w:rsid w:val="00285BDF"/>
    <w:rsid w:val="002A23C8"/>
    <w:rsid w:val="002D50D0"/>
    <w:rsid w:val="002D6CDA"/>
    <w:rsid w:val="002F42AD"/>
    <w:rsid w:val="00330116"/>
    <w:rsid w:val="00344128"/>
    <w:rsid w:val="003511A4"/>
    <w:rsid w:val="00361FB7"/>
    <w:rsid w:val="00362542"/>
    <w:rsid w:val="00362983"/>
    <w:rsid w:val="00381FAE"/>
    <w:rsid w:val="003966C8"/>
    <w:rsid w:val="003A35EA"/>
    <w:rsid w:val="003C08DC"/>
    <w:rsid w:val="003D41E5"/>
    <w:rsid w:val="003E373C"/>
    <w:rsid w:val="003E72E6"/>
    <w:rsid w:val="00450646"/>
    <w:rsid w:val="00484B03"/>
    <w:rsid w:val="004876D9"/>
    <w:rsid w:val="004A05E6"/>
    <w:rsid w:val="004C59EB"/>
    <w:rsid w:val="004D456F"/>
    <w:rsid w:val="004F46BF"/>
    <w:rsid w:val="004F751C"/>
    <w:rsid w:val="00533638"/>
    <w:rsid w:val="00542398"/>
    <w:rsid w:val="00553439"/>
    <w:rsid w:val="0058727A"/>
    <w:rsid w:val="005A7C4F"/>
    <w:rsid w:val="005D04DB"/>
    <w:rsid w:val="005D1249"/>
    <w:rsid w:val="005D58FD"/>
    <w:rsid w:val="005F0711"/>
    <w:rsid w:val="00604319"/>
    <w:rsid w:val="00604583"/>
    <w:rsid w:val="00610818"/>
    <w:rsid w:val="00627ACF"/>
    <w:rsid w:val="00634653"/>
    <w:rsid w:val="00640B47"/>
    <w:rsid w:val="00641786"/>
    <w:rsid w:val="00642122"/>
    <w:rsid w:val="00643C16"/>
    <w:rsid w:val="006547F9"/>
    <w:rsid w:val="00655962"/>
    <w:rsid w:val="006600C5"/>
    <w:rsid w:val="00662DBC"/>
    <w:rsid w:val="0066581D"/>
    <w:rsid w:val="00673AAB"/>
    <w:rsid w:val="006757DB"/>
    <w:rsid w:val="00684705"/>
    <w:rsid w:val="006966F9"/>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C72F1"/>
    <w:rsid w:val="007D3A6D"/>
    <w:rsid w:val="007E3C14"/>
    <w:rsid w:val="007F5954"/>
    <w:rsid w:val="00800148"/>
    <w:rsid w:val="00827E53"/>
    <w:rsid w:val="008515AE"/>
    <w:rsid w:val="0086249F"/>
    <w:rsid w:val="0086628E"/>
    <w:rsid w:val="00884A6D"/>
    <w:rsid w:val="008A5504"/>
    <w:rsid w:val="008D32DA"/>
    <w:rsid w:val="008D67B8"/>
    <w:rsid w:val="008E10F6"/>
    <w:rsid w:val="0091094C"/>
    <w:rsid w:val="009306C3"/>
    <w:rsid w:val="00932034"/>
    <w:rsid w:val="00942CAB"/>
    <w:rsid w:val="00952752"/>
    <w:rsid w:val="00954D2A"/>
    <w:rsid w:val="00962840"/>
    <w:rsid w:val="009677B7"/>
    <w:rsid w:val="009727A4"/>
    <w:rsid w:val="00972ABA"/>
    <w:rsid w:val="00975DE0"/>
    <w:rsid w:val="009A09D0"/>
    <w:rsid w:val="009B1744"/>
    <w:rsid w:val="009B7F84"/>
    <w:rsid w:val="009C0694"/>
    <w:rsid w:val="009D007F"/>
    <w:rsid w:val="009D35B2"/>
    <w:rsid w:val="009E40A1"/>
    <w:rsid w:val="009F3E81"/>
    <w:rsid w:val="00A1093C"/>
    <w:rsid w:val="00A175E5"/>
    <w:rsid w:val="00A3287B"/>
    <w:rsid w:val="00A37A04"/>
    <w:rsid w:val="00A459A7"/>
    <w:rsid w:val="00A500B2"/>
    <w:rsid w:val="00A82F26"/>
    <w:rsid w:val="00AA0551"/>
    <w:rsid w:val="00AA4535"/>
    <w:rsid w:val="00AA4EC1"/>
    <w:rsid w:val="00AB6F29"/>
    <w:rsid w:val="00AB7CC1"/>
    <w:rsid w:val="00AE64CD"/>
    <w:rsid w:val="00AE6CE9"/>
    <w:rsid w:val="00B066EF"/>
    <w:rsid w:val="00B117C6"/>
    <w:rsid w:val="00B4304D"/>
    <w:rsid w:val="00B8489C"/>
    <w:rsid w:val="00B96435"/>
    <w:rsid w:val="00BA07E9"/>
    <w:rsid w:val="00BD57E0"/>
    <w:rsid w:val="00BE524C"/>
    <w:rsid w:val="00BE793D"/>
    <w:rsid w:val="00BF0E24"/>
    <w:rsid w:val="00BF1A19"/>
    <w:rsid w:val="00BF549A"/>
    <w:rsid w:val="00C36FD8"/>
    <w:rsid w:val="00C400BE"/>
    <w:rsid w:val="00C4246C"/>
    <w:rsid w:val="00C43F3D"/>
    <w:rsid w:val="00C5415B"/>
    <w:rsid w:val="00C85619"/>
    <w:rsid w:val="00CA342B"/>
    <w:rsid w:val="00CB21D0"/>
    <w:rsid w:val="00CB3F75"/>
    <w:rsid w:val="00CC23B6"/>
    <w:rsid w:val="00CC2F25"/>
    <w:rsid w:val="00CC382B"/>
    <w:rsid w:val="00CD3A30"/>
    <w:rsid w:val="00CD518A"/>
    <w:rsid w:val="00CD5319"/>
    <w:rsid w:val="00CD545D"/>
    <w:rsid w:val="00D11580"/>
    <w:rsid w:val="00D47A5E"/>
    <w:rsid w:val="00D87ACB"/>
    <w:rsid w:val="00D90C74"/>
    <w:rsid w:val="00D92D59"/>
    <w:rsid w:val="00D937BD"/>
    <w:rsid w:val="00DA0B5C"/>
    <w:rsid w:val="00DA67EC"/>
    <w:rsid w:val="00DA733F"/>
    <w:rsid w:val="00DC433D"/>
    <w:rsid w:val="00DC7452"/>
    <w:rsid w:val="00DD3955"/>
    <w:rsid w:val="00E02FDB"/>
    <w:rsid w:val="00E0553F"/>
    <w:rsid w:val="00E12505"/>
    <w:rsid w:val="00E20245"/>
    <w:rsid w:val="00E20AD7"/>
    <w:rsid w:val="00E341DE"/>
    <w:rsid w:val="00E46DF2"/>
    <w:rsid w:val="00E7205C"/>
    <w:rsid w:val="00E97600"/>
    <w:rsid w:val="00EA017E"/>
    <w:rsid w:val="00EA57DA"/>
    <w:rsid w:val="00EB0DD0"/>
    <w:rsid w:val="00EC61EB"/>
    <w:rsid w:val="00EF1A25"/>
    <w:rsid w:val="00F024A2"/>
    <w:rsid w:val="00F231D1"/>
    <w:rsid w:val="00F6612E"/>
    <w:rsid w:val="00F92A4D"/>
    <w:rsid w:val="00FB072C"/>
    <w:rsid w:val="00FC33F3"/>
    <w:rsid w:val="00FC5739"/>
    <w:rsid w:val="03830F9F"/>
    <w:rsid w:val="068C0E97"/>
    <w:rsid w:val="0C225914"/>
    <w:rsid w:val="0EC6486D"/>
    <w:rsid w:val="124173DB"/>
    <w:rsid w:val="15E43C59"/>
    <w:rsid w:val="165203D2"/>
    <w:rsid w:val="19B33B76"/>
    <w:rsid w:val="1B063B16"/>
    <w:rsid w:val="21BA244B"/>
    <w:rsid w:val="273757CA"/>
    <w:rsid w:val="2F4949A0"/>
    <w:rsid w:val="30922714"/>
    <w:rsid w:val="3884192F"/>
    <w:rsid w:val="3C745693"/>
    <w:rsid w:val="49D3F5D2"/>
    <w:rsid w:val="4D3C44E3"/>
    <w:rsid w:val="4E5E75AE"/>
    <w:rsid w:val="4ECE5B15"/>
    <w:rsid w:val="56BF656B"/>
    <w:rsid w:val="574B2D42"/>
    <w:rsid w:val="5861048F"/>
    <w:rsid w:val="5B2313AE"/>
    <w:rsid w:val="5B3012EF"/>
    <w:rsid w:val="6B2B3337"/>
    <w:rsid w:val="709F5DC9"/>
    <w:rsid w:val="77295FF8"/>
    <w:rsid w:val="79F72584"/>
    <w:rsid w:val="7ABFEEB3"/>
    <w:rsid w:val="7E6332E3"/>
    <w:rsid w:val="7FBB4241"/>
    <w:rsid w:val="7FDF2486"/>
    <w:rsid w:val="BD8F77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230C5609-7271-4A80-906C-6040E676770B}">
  <ds:schemaRefs/>
</ds:datastoreItem>
</file>

<file path=docProps/app.xml><?xml version="1.0" encoding="utf-8"?>
<Properties xmlns="http://schemas.openxmlformats.org/officeDocument/2006/extended-properties" xmlns:vt="http://schemas.openxmlformats.org/officeDocument/2006/docPropsVTypes">
  <Company>Microsoft</Company>
  <Pages>3</Pages>
  <Words>393</Words>
  <Characters>2242</Characters>
  <Lines>18</Lines>
  <Paragraphs>5</Paragraphs>
  <TotalTime>0</TotalTime>
  <ScaleCrop>false</ScaleCrop>
  <LinksUpToDate>false</LinksUpToDate>
  <CharactersWithSpaces>2630</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2021-10-21T19:53:00Z</dcterms:created>
  <dc:creator>肖昕</dc:creator>
  <cp:lastModifiedBy>Hongwj</cp:lastModifiedBy>
  <cp:lastPrinted>2023-05-19T23:59:00Z</cp:lastPrinted>
  <dcterms:modified xsi:type="dcterms:W3CDTF">2026-06-12T09:12:51Z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2EA81B539A722FEA135D2B6A4382F9F9_43</vt:lpwstr>
  </property>
</Properties>
</file>